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CellSpacing w:w="6" w:type="dxa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0487"/>
      </w:tblGrid>
      <w:tr>
        <w:trPr>
          <w:trHeight w:val="330" w:hRule="atLeast"/>
        </w:trPr>
        <w:tc>
          <w:tcPr>
            <w:tcW w:w="2399" w:type="dxa"/>
            <w:tcBorders>
              <w:top w:val="nil"/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4"/>
              <w:ind w:left="0" w:right="7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Programa</w:t>
            </w:r>
            <w:r>
              <w:rPr>
                <w:rFonts w:ascii="Calibri"/>
                <w:color w:val="FFFFFF"/>
                <w:spacing w:val="-9"/>
                <w:sz w:val="20"/>
              </w:rPr>
              <w:t> </w:t>
            </w:r>
            <w:r>
              <w:rPr>
                <w:rFonts w:ascii="Calibri"/>
                <w:color w:val="FFFFFF"/>
                <w:spacing w:val="-2"/>
                <w:sz w:val="20"/>
              </w:rPr>
              <w:t>Presupuestario:</w:t>
            </w:r>
          </w:p>
        </w:tc>
        <w:tc>
          <w:tcPr>
            <w:tcW w:w="10481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E404E10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DESARROLLO</w:t>
            </w:r>
          </w:p>
        </w:tc>
      </w:tr>
      <w:tr>
        <w:trPr>
          <w:trHeight w:val="834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51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Eje</w:t>
            </w:r>
            <w:r>
              <w:rPr>
                <w:rFonts w:ascii="Calibri"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4"/>
                <w:sz w:val="20"/>
              </w:rPr>
              <w:t> PED:</w:t>
            </w:r>
          </w:p>
          <w:p>
            <w:pPr>
              <w:pStyle w:val="TableParagraph"/>
              <w:spacing w:before="174"/>
              <w:ind w:left="0"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Reto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pacing w:val="-4"/>
                <w:sz w:val="20"/>
              </w:rPr>
              <w:t>PED: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Todos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sonorenses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oportunidades</w:t>
            </w:r>
          </w:p>
          <w:p>
            <w:pPr>
              <w:pStyle w:val="TableParagraph"/>
              <w:spacing w:line="240" w:lineRule="atLeast" w:before="31"/>
              <w:ind w:left="58" w:righ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Elevar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impulsar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creatividad,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ingenio,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competencias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 los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valores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fundamentales de los sonorenses, potencializando el talento del personal docente y desarrollando sus capacidades de aprendizaje.</w:t>
            </w:r>
          </w:p>
        </w:tc>
      </w:tr>
      <w:tr>
        <w:trPr>
          <w:trHeight w:val="659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2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Finalidad:</w:t>
            </w:r>
          </w:p>
          <w:p>
            <w:pPr>
              <w:pStyle w:val="TableParagraph"/>
              <w:spacing w:before="87"/>
              <w:ind w:left="0" w:right="6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Función: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2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Desarrollo</w:t>
            </w:r>
            <w:r>
              <w:rPr>
                <w:rFonts w:ascii="Calibri"/>
                <w:spacing w:val="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social</w:t>
            </w:r>
          </w:p>
          <w:p>
            <w:pPr>
              <w:pStyle w:val="TableParagraph"/>
              <w:spacing w:before="87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</w:p>
        </w:tc>
      </w:tr>
      <w:tr>
        <w:trPr>
          <w:trHeight w:val="331" w:hRule="atLeast"/>
        </w:trPr>
        <w:tc>
          <w:tcPr>
            <w:tcW w:w="2399" w:type="dxa"/>
            <w:tcBorders>
              <w:left w:val="nil"/>
              <w:bottom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5"/>
              <w:ind w:left="0" w:right="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Subfunción:</w:t>
            </w:r>
          </w:p>
        </w:tc>
        <w:tc>
          <w:tcPr>
            <w:tcW w:w="10481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Superior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068"/>
        <w:gridCol w:w="1435"/>
        <w:gridCol w:w="2595"/>
        <w:gridCol w:w="1858"/>
        <w:gridCol w:w="1381"/>
        <w:gridCol w:w="1287"/>
        <w:gridCol w:w="997"/>
      </w:tblGrid>
      <w:tr>
        <w:trPr>
          <w:trHeight w:val="543" w:hRule="atLeast"/>
        </w:trPr>
        <w:tc>
          <w:tcPr>
            <w:tcW w:w="224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Eje</w:t>
            </w:r>
            <w:r>
              <w:rPr>
                <w:rFonts w:ascii="Arial Black"/>
                <w:w w:val="95"/>
                <w:sz w:val="20"/>
              </w:rPr>
              <w:t> </w:t>
            </w:r>
            <w:r>
              <w:rPr>
                <w:rFonts w:ascii="Arial Black"/>
                <w:spacing w:val="-5"/>
                <w:w w:val="95"/>
                <w:sz w:val="20"/>
              </w:rPr>
              <w:t>PDI</w:t>
            </w:r>
          </w:p>
        </w:tc>
        <w:tc>
          <w:tcPr>
            <w:tcW w:w="306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11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Objetivo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PDI</w:t>
            </w:r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61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Nivel</w:t>
            </w:r>
            <w:r>
              <w:rPr>
                <w:rFonts w:ascii="Arial Black"/>
                <w:spacing w:val="-6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MIR</w:t>
            </w:r>
          </w:p>
        </w:tc>
        <w:tc>
          <w:tcPr>
            <w:tcW w:w="259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82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Indicador</w:t>
            </w:r>
          </w:p>
        </w:tc>
        <w:tc>
          <w:tcPr>
            <w:tcW w:w="185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0"/>
                <w:sz w:val="20"/>
              </w:rPr>
              <w:t>Actividad</w:t>
            </w:r>
            <w:r>
              <w:rPr>
                <w:rFonts w:ascii="Arial Black"/>
                <w:sz w:val="20"/>
              </w:rPr>
              <w:t> </w:t>
            </w:r>
            <w:r>
              <w:rPr>
                <w:rFonts w:ascii="Arial Black"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53" w:lineRule="exact" w:before="0"/>
              <w:ind w:left="48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proyecto</w:t>
            </w:r>
          </w:p>
        </w:tc>
        <w:tc>
          <w:tcPr>
            <w:tcW w:w="1381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5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Tipo</w:t>
            </w:r>
          </w:p>
        </w:tc>
        <w:tc>
          <w:tcPr>
            <w:tcW w:w="128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4" w:right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Dimensión</w:t>
            </w:r>
          </w:p>
        </w:tc>
        <w:tc>
          <w:tcPr>
            <w:tcW w:w="99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24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Meta</w:t>
            </w:r>
          </w:p>
          <w:p>
            <w:pPr>
              <w:pStyle w:val="TableParagraph"/>
              <w:spacing w:line="253" w:lineRule="exact" w:before="0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95"/>
                <w:sz w:val="20"/>
              </w:rPr>
              <w:t>2021</w:t>
            </w:r>
          </w:p>
        </w:tc>
      </w:tr>
      <w:tr>
        <w:trPr>
          <w:trHeight w:val="1141" w:hRule="atLeast"/>
        </w:trPr>
        <w:tc>
          <w:tcPr>
            <w:tcW w:w="224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32" w:lineRule="auto" w:before="2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28"/>
              <w:ind w:right="202"/>
              <w:rPr>
                <w:sz w:val="20"/>
              </w:rPr>
            </w:pPr>
            <w:r>
              <w:rPr>
                <w:sz w:val="20"/>
              </w:rPr>
              <w:t>1 1. Asegurar que la oferta educativa sea de calidad y pertinente a las necesidades de la sociedad.</w:t>
            </w:r>
          </w:p>
        </w:tc>
        <w:tc>
          <w:tcPr>
            <w:tcW w:w="143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28"/>
              <w:ind w:left="61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Fin</w:t>
            </w:r>
          </w:p>
        </w:tc>
        <w:tc>
          <w:tcPr>
            <w:tcW w:w="259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Cobertura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Educación Superior</w:t>
            </w:r>
          </w:p>
        </w:tc>
        <w:tc>
          <w:tcPr>
            <w:tcW w:w="185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28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28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6.4%</w:t>
            </w:r>
          </w:p>
        </w:tc>
      </w:tr>
      <w:tr>
        <w:trPr>
          <w:trHeight w:val="1423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1.7 Consolidar la oferta de posgrado institucional con orientación profesional, de investigación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vinculado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 los sectores.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Fin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ind w:right="175"/>
              <w:rPr>
                <w:sz w:val="20"/>
              </w:rPr>
            </w:pPr>
            <w:r>
              <w:rPr>
                <w:w w:val="105"/>
                <w:sz w:val="20"/>
              </w:rPr>
              <w:t>Proporción de alumnos inscritos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posgrado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 relación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matrícula de pregrado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2.7%</w:t>
            </w:r>
          </w:p>
        </w:tc>
      </w:tr>
      <w:tr>
        <w:trPr>
          <w:trHeight w:val="1142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2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 w:before="28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1.1 Asegurar que la oferta educativa sea de calidad y pertinente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necesidades de la sociedad.</w:t>
            </w:r>
          </w:p>
        </w:tc>
        <w:tc>
          <w:tcPr>
            <w:tcW w:w="1435" w:type="dxa"/>
          </w:tcPr>
          <w:p>
            <w:pPr>
              <w:pStyle w:val="TableParagraph"/>
              <w:spacing w:before="28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Propósito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w w:val="105"/>
                <w:sz w:val="20"/>
              </w:rPr>
              <w:t>Porcentaje de alumnos inscritos en programas acreditados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reconocidos por su calidad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spacing w:before="28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spacing w:before="28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96.0%</w:t>
            </w:r>
          </w:p>
        </w:tc>
      </w:tr>
      <w:tr>
        <w:trPr>
          <w:trHeight w:val="1360" w:hRule="atLeast"/>
        </w:trPr>
        <w:tc>
          <w:tcPr>
            <w:tcW w:w="2247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202"/>
              <w:rPr>
                <w:sz w:val="20"/>
              </w:rPr>
            </w:pPr>
            <w:r>
              <w:rPr>
                <w:sz w:val="20"/>
              </w:rPr>
              <w:t>3.1 Sistematizar los servicios </w:t>
            </w:r>
            <w:r>
              <w:rPr>
                <w:w w:val="105"/>
                <w:sz w:val="20"/>
              </w:rPr>
              <w:t>de extensión y cultura que contribuyen al logro del modelo educativo</w:t>
            </w:r>
          </w:p>
          <w:p>
            <w:pPr>
              <w:pStyle w:val="TableParagraph"/>
              <w:spacing w:line="225" w:lineRule="exact" w:before="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institucional.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ind w:right="175"/>
              <w:rPr>
                <w:sz w:val="20"/>
              </w:rPr>
            </w:pPr>
            <w:r>
              <w:rPr>
                <w:w w:val="105"/>
                <w:sz w:val="20"/>
              </w:rPr>
              <w:t>Porcentaje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alumnos que reciben becas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8.2%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headerReference w:type="default" r:id="rId5"/>
          <w:type w:val="continuous"/>
          <w:pgSz w:w="15840" w:h="12240" w:orient="landscape"/>
          <w:pgMar w:header="383" w:footer="0" w:top="1480" w:bottom="280" w:left="360" w:right="360"/>
          <w:pgNumType w:start="1"/>
        </w:sectPr>
      </w:pPr>
    </w:p>
    <w:tbl>
      <w:tblPr>
        <w:tblW w:w="0" w:type="auto"/>
        <w:jc w:val="left"/>
        <w:tblCellSpacing w:w="6" w:type="dxa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0487"/>
      </w:tblGrid>
      <w:tr>
        <w:trPr>
          <w:trHeight w:val="330" w:hRule="atLeast"/>
        </w:trPr>
        <w:tc>
          <w:tcPr>
            <w:tcW w:w="2399" w:type="dxa"/>
            <w:tcBorders>
              <w:top w:val="nil"/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4"/>
              <w:ind w:left="0" w:right="7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Programa</w:t>
            </w:r>
            <w:r>
              <w:rPr>
                <w:rFonts w:ascii="Calibri"/>
                <w:color w:val="FFFFFF"/>
                <w:spacing w:val="-9"/>
                <w:sz w:val="20"/>
              </w:rPr>
              <w:t> </w:t>
            </w:r>
            <w:r>
              <w:rPr>
                <w:rFonts w:ascii="Calibri"/>
                <w:color w:val="FFFFFF"/>
                <w:spacing w:val="-2"/>
                <w:sz w:val="20"/>
              </w:rPr>
              <w:t>Presupuestario:</w:t>
            </w:r>
          </w:p>
        </w:tc>
        <w:tc>
          <w:tcPr>
            <w:tcW w:w="10481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E404E10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DESARROLLO</w:t>
            </w:r>
          </w:p>
        </w:tc>
      </w:tr>
      <w:tr>
        <w:trPr>
          <w:trHeight w:val="834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51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Eje</w:t>
            </w:r>
            <w:r>
              <w:rPr>
                <w:rFonts w:ascii="Calibri"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4"/>
                <w:sz w:val="20"/>
              </w:rPr>
              <w:t> PED:</w:t>
            </w:r>
          </w:p>
          <w:p>
            <w:pPr>
              <w:pStyle w:val="TableParagraph"/>
              <w:spacing w:before="174"/>
              <w:ind w:left="0"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Reto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pacing w:val="-4"/>
                <w:sz w:val="20"/>
              </w:rPr>
              <w:t>PED: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Todos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sonorenses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oportunidades</w:t>
            </w:r>
          </w:p>
          <w:p>
            <w:pPr>
              <w:pStyle w:val="TableParagraph"/>
              <w:spacing w:line="240" w:lineRule="atLeast" w:before="31"/>
              <w:ind w:left="58" w:righ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Elevar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impulsar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creatividad,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ingenio,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competencias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 los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valores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fundamentales de los sonorenses, potencializando el talento del personal docente y desarrollando sus capacidades de aprendizaje.</w:t>
            </w:r>
          </w:p>
        </w:tc>
      </w:tr>
      <w:tr>
        <w:trPr>
          <w:trHeight w:val="659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2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Finalidad:</w:t>
            </w:r>
          </w:p>
          <w:p>
            <w:pPr>
              <w:pStyle w:val="TableParagraph"/>
              <w:spacing w:before="87"/>
              <w:ind w:left="0" w:right="6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Función: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2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Desarrollo</w:t>
            </w:r>
            <w:r>
              <w:rPr>
                <w:rFonts w:ascii="Calibri"/>
                <w:spacing w:val="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social</w:t>
            </w:r>
          </w:p>
          <w:p>
            <w:pPr>
              <w:pStyle w:val="TableParagraph"/>
              <w:spacing w:before="87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</w:p>
        </w:tc>
      </w:tr>
      <w:tr>
        <w:trPr>
          <w:trHeight w:val="331" w:hRule="atLeast"/>
        </w:trPr>
        <w:tc>
          <w:tcPr>
            <w:tcW w:w="2399" w:type="dxa"/>
            <w:tcBorders>
              <w:left w:val="nil"/>
              <w:bottom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5"/>
              <w:ind w:left="0" w:right="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Subfunción:</w:t>
            </w:r>
          </w:p>
        </w:tc>
        <w:tc>
          <w:tcPr>
            <w:tcW w:w="10481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Superior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068"/>
        <w:gridCol w:w="1435"/>
        <w:gridCol w:w="2595"/>
        <w:gridCol w:w="1858"/>
        <w:gridCol w:w="1381"/>
        <w:gridCol w:w="1287"/>
        <w:gridCol w:w="997"/>
      </w:tblGrid>
      <w:tr>
        <w:trPr>
          <w:trHeight w:val="543" w:hRule="atLeast"/>
        </w:trPr>
        <w:tc>
          <w:tcPr>
            <w:tcW w:w="224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Eje</w:t>
            </w:r>
            <w:r>
              <w:rPr>
                <w:rFonts w:ascii="Arial Black"/>
                <w:w w:val="95"/>
                <w:sz w:val="20"/>
              </w:rPr>
              <w:t> </w:t>
            </w:r>
            <w:r>
              <w:rPr>
                <w:rFonts w:ascii="Arial Black"/>
                <w:spacing w:val="-5"/>
                <w:w w:val="95"/>
                <w:sz w:val="20"/>
              </w:rPr>
              <w:t>PDI</w:t>
            </w:r>
          </w:p>
        </w:tc>
        <w:tc>
          <w:tcPr>
            <w:tcW w:w="306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11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Objetivo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PDI</w:t>
            </w:r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61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Nivel</w:t>
            </w:r>
            <w:r>
              <w:rPr>
                <w:rFonts w:ascii="Arial Black"/>
                <w:spacing w:val="-6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MIR</w:t>
            </w:r>
          </w:p>
        </w:tc>
        <w:tc>
          <w:tcPr>
            <w:tcW w:w="259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0" w:right="816"/>
              <w:jc w:val="right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Indicador</w:t>
            </w:r>
          </w:p>
        </w:tc>
        <w:tc>
          <w:tcPr>
            <w:tcW w:w="185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0"/>
                <w:sz w:val="20"/>
              </w:rPr>
              <w:t>Actividad</w:t>
            </w:r>
            <w:r>
              <w:rPr>
                <w:rFonts w:ascii="Arial Black"/>
                <w:sz w:val="20"/>
              </w:rPr>
              <w:t> </w:t>
            </w:r>
            <w:r>
              <w:rPr>
                <w:rFonts w:ascii="Arial Black"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53" w:lineRule="exact" w:before="0"/>
              <w:ind w:left="48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proyecto</w:t>
            </w:r>
          </w:p>
        </w:tc>
        <w:tc>
          <w:tcPr>
            <w:tcW w:w="1381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5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Tipo</w:t>
            </w:r>
          </w:p>
        </w:tc>
        <w:tc>
          <w:tcPr>
            <w:tcW w:w="128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4" w:right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Dimensión</w:t>
            </w:r>
          </w:p>
        </w:tc>
        <w:tc>
          <w:tcPr>
            <w:tcW w:w="99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24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Meta</w:t>
            </w:r>
          </w:p>
          <w:p>
            <w:pPr>
              <w:pStyle w:val="TableParagraph"/>
              <w:spacing w:line="253" w:lineRule="exact" w:before="0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95"/>
                <w:sz w:val="20"/>
              </w:rPr>
              <w:t>2021</w:t>
            </w:r>
          </w:p>
        </w:tc>
      </w:tr>
      <w:tr>
        <w:trPr>
          <w:trHeight w:val="834" w:hRule="atLeast"/>
        </w:trPr>
        <w:tc>
          <w:tcPr>
            <w:tcW w:w="224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51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Eje</w:t>
            </w:r>
            <w:r>
              <w:rPr>
                <w:rFonts w:ascii="Arial Black"/>
                <w:spacing w:val="1"/>
                <w:sz w:val="20"/>
              </w:rPr>
              <w:t> </w:t>
            </w:r>
            <w:r>
              <w:rPr>
                <w:rFonts w:ascii="Arial Black"/>
                <w:w w:val="85"/>
                <w:sz w:val="20"/>
              </w:rPr>
              <w:t>rector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w w:val="85"/>
                <w:sz w:val="20"/>
              </w:rPr>
              <w:t>1.</w:t>
            </w:r>
          </w:p>
          <w:p>
            <w:pPr>
              <w:pStyle w:val="TableParagraph"/>
              <w:spacing w:line="230" w:lineRule="auto" w:before="4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5" w:lineRule="auto" w:before="6"/>
              <w:rPr>
                <w:sz w:val="20"/>
              </w:rPr>
            </w:pPr>
            <w:r>
              <w:rPr>
                <w:w w:val="105"/>
                <w:sz w:val="20"/>
              </w:rPr>
              <w:t>1.3 Mejorar el rendimiento escolar de los alumnos.</w:t>
            </w:r>
          </w:p>
        </w:tc>
        <w:tc>
          <w:tcPr>
            <w:tcW w:w="143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0" w:right="774"/>
              <w:jc w:val="right"/>
              <w:rPr>
                <w:sz w:val="20"/>
              </w:rPr>
            </w:pPr>
            <w:r>
              <w:rPr>
                <w:sz w:val="20"/>
              </w:rPr>
              <w:t>Eficiencia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terminal</w:t>
            </w:r>
          </w:p>
        </w:tc>
        <w:tc>
          <w:tcPr>
            <w:tcW w:w="185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113 </w:t>
            </w:r>
            <w:r>
              <w:rPr>
                <w:spacing w:val="-2"/>
                <w:sz w:val="20"/>
              </w:rPr>
              <w:t>Educación</w:t>
            </w:r>
          </w:p>
          <w:p>
            <w:pPr>
              <w:pStyle w:val="TableParagraph"/>
              <w:spacing w:line="270" w:lineRule="atLeast" w:before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20.0%</w:t>
            </w:r>
          </w:p>
        </w:tc>
      </w:tr>
      <w:tr>
        <w:trPr>
          <w:trHeight w:val="1092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2"/>
              <w:ind w:left="110" w:right="42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</w:t>
            </w:r>
            <w:r>
              <w:rPr>
                <w:rFonts w:ascii="Arial Black" w:hAnsi="Arial Black"/>
                <w:spacing w:val="19"/>
                <w:sz w:val="20"/>
              </w:rPr>
              <w:t> </w:t>
            </w:r>
            <w:r>
              <w:rPr>
                <w:rFonts w:ascii="Arial Black" w:hAnsi="Arial Black"/>
                <w:spacing w:val="-8"/>
                <w:w w:val="95"/>
                <w:sz w:val="20"/>
              </w:rPr>
              <w:t>con</w:t>
            </w:r>
          </w:p>
          <w:p>
            <w:pPr>
              <w:pStyle w:val="TableParagraph"/>
              <w:spacing w:line="249" w:lineRule="exact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5" w:lineRule="auto" w:before="28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3.4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Fortalecer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programas de cultura y artes </w:t>
            </w:r>
            <w:r>
              <w:rPr>
                <w:spacing w:val="-2"/>
                <w:w w:val="105"/>
                <w:sz w:val="20"/>
              </w:rPr>
              <w:t>universitarios.</w:t>
            </w:r>
          </w:p>
        </w:tc>
        <w:tc>
          <w:tcPr>
            <w:tcW w:w="1435" w:type="dxa"/>
          </w:tcPr>
          <w:p>
            <w:pPr>
              <w:pStyle w:val="TableParagraph"/>
              <w:spacing w:before="28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</w:tcPr>
          <w:p>
            <w:pPr>
              <w:pStyle w:val="TableParagraph"/>
              <w:spacing w:line="285" w:lineRule="auto" w:before="28"/>
              <w:ind w:right="14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alumnos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 participan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actividades </w:t>
            </w:r>
            <w:r>
              <w:rPr>
                <w:spacing w:val="-2"/>
                <w:w w:val="105"/>
                <w:sz w:val="20"/>
              </w:rPr>
              <w:t>culturales</w:t>
            </w:r>
          </w:p>
        </w:tc>
        <w:tc>
          <w:tcPr>
            <w:tcW w:w="1858" w:type="dxa"/>
          </w:tcPr>
          <w:p>
            <w:pPr>
              <w:pStyle w:val="TableParagraph"/>
              <w:spacing w:line="285" w:lineRule="auto" w:before="28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spacing w:before="28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spacing w:before="28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4,200</w:t>
            </w:r>
          </w:p>
        </w:tc>
      </w:tr>
      <w:tr>
        <w:trPr>
          <w:trHeight w:val="1360" w:hRule="atLeast"/>
        </w:trPr>
        <w:tc>
          <w:tcPr>
            <w:tcW w:w="2247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3.3 Fortalecer el hábito de estilos de vida saludable, cultura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comunidad universitaria y</w:t>
            </w:r>
          </w:p>
          <w:p>
            <w:pPr>
              <w:pStyle w:val="TableParagraph"/>
              <w:spacing w:line="225" w:lineRule="exact" w:before="4"/>
              <w:rPr>
                <w:sz w:val="20"/>
              </w:rPr>
            </w:pPr>
            <w:r>
              <w:rPr>
                <w:spacing w:val="-2"/>
                <w:sz w:val="20"/>
              </w:rPr>
              <w:t>sociedad.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Número de alumnos de pregrado atendidos en actividades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deportivas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 cultura física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1,530</w:t>
            </w:r>
          </w:p>
        </w:tc>
      </w:tr>
      <w:tr>
        <w:trPr>
          <w:trHeight w:val="1140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1.4 Consolidar el desarrollo del personal académico que</w:t>
            </w:r>
          </w:p>
          <w:p>
            <w:pPr>
              <w:pStyle w:val="TableParagraph"/>
              <w:spacing w:line="285" w:lineRule="auto" w:before="0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impacte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desempeño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la actividad docente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Porcentaje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profesores de tiempo completo con perfil PRODEP</w:t>
            </w:r>
          </w:p>
        </w:tc>
        <w:tc>
          <w:tcPr>
            <w:tcW w:w="1858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84.2%</w:t>
            </w:r>
          </w:p>
        </w:tc>
      </w:tr>
      <w:tr>
        <w:trPr>
          <w:trHeight w:val="1142" w:hRule="atLeast"/>
        </w:trPr>
        <w:tc>
          <w:tcPr>
            <w:tcW w:w="2247" w:type="dxa"/>
          </w:tcPr>
          <w:p>
            <w:pPr>
              <w:pStyle w:val="TableParagraph"/>
              <w:spacing w:line="230" w:lineRule="auto" w:before="4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 w:before="28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1.4 Consolidar el desarrollo del personal académico que impacte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desempeño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la actividad docente</w:t>
            </w:r>
          </w:p>
        </w:tc>
        <w:tc>
          <w:tcPr>
            <w:tcW w:w="1435" w:type="dxa"/>
          </w:tcPr>
          <w:p>
            <w:pPr>
              <w:pStyle w:val="TableParagraph"/>
              <w:spacing w:before="28"/>
              <w:ind w:left="61" w:right="5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Componente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w w:val="105"/>
                <w:sz w:val="20"/>
              </w:rPr>
              <w:t>Porcentaje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profesores de tiempo completo con </w:t>
            </w:r>
            <w:r>
              <w:rPr>
                <w:spacing w:val="-2"/>
                <w:w w:val="105"/>
                <w:sz w:val="20"/>
              </w:rPr>
              <w:t>posgrado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spacing w:before="28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</w:tcPr>
          <w:p>
            <w:pPr>
              <w:pStyle w:val="TableParagraph"/>
              <w:spacing w:before="28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99.2%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5840" w:h="12240" w:orient="landscape"/>
          <w:pgMar w:header="383" w:footer="0" w:top="1480" w:bottom="280" w:left="360" w:right="360"/>
        </w:sectPr>
      </w:pPr>
    </w:p>
    <w:tbl>
      <w:tblPr>
        <w:tblW w:w="0" w:type="auto"/>
        <w:jc w:val="left"/>
        <w:tblCellSpacing w:w="6" w:type="dxa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0487"/>
      </w:tblGrid>
      <w:tr>
        <w:trPr>
          <w:trHeight w:val="330" w:hRule="atLeast"/>
        </w:trPr>
        <w:tc>
          <w:tcPr>
            <w:tcW w:w="2399" w:type="dxa"/>
            <w:tcBorders>
              <w:top w:val="nil"/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4"/>
              <w:ind w:left="0" w:right="7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Programa</w:t>
            </w:r>
            <w:r>
              <w:rPr>
                <w:rFonts w:ascii="Calibri"/>
                <w:color w:val="FFFFFF"/>
                <w:spacing w:val="-9"/>
                <w:sz w:val="20"/>
              </w:rPr>
              <w:t> </w:t>
            </w:r>
            <w:r>
              <w:rPr>
                <w:rFonts w:ascii="Calibri"/>
                <w:color w:val="FFFFFF"/>
                <w:spacing w:val="-2"/>
                <w:sz w:val="20"/>
              </w:rPr>
              <w:t>Presupuestario:</w:t>
            </w:r>
          </w:p>
        </w:tc>
        <w:tc>
          <w:tcPr>
            <w:tcW w:w="10481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E404E10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DESARROLLO</w:t>
            </w:r>
          </w:p>
        </w:tc>
      </w:tr>
      <w:tr>
        <w:trPr>
          <w:trHeight w:val="834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51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Eje</w:t>
            </w:r>
            <w:r>
              <w:rPr>
                <w:rFonts w:ascii="Calibri"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4"/>
                <w:sz w:val="20"/>
              </w:rPr>
              <w:t> PED:</w:t>
            </w:r>
          </w:p>
          <w:p>
            <w:pPr>
              <w:pStyle w:val="TableParagraph"/>
              <w:spacing w:before="174"/>
              <w:ind w:left="0"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Reto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pacing w:val="-4"/>
                <w:sz w:val="20"/>
              </w:rPr>
              <w:t>PED: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Todos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sonorenses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oportunidades</w:t>
            </w:r>
          </w:p>
          <w:p>
            <w:pPr>
              <w:pStyle w:val="TableParagraph"/>
              <w:spacing w:line="240" w:lineRule="atLeast" w:before="31"/>
              <w:ind w:left="58" w:righ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Elevar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impulsar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creatividad,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ingenio,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competencias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 los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valores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fundamentales de los sonorenses, potencializando el talento del personal docente y desarrollando sus capacidades de aprendizaje.</w:t>
            </w:r>
          </w:p>
        </w:tc>
      </w:tr>
      <w:tr>
        <w:trPr>
          <w:trHeight w:val="659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2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Finalidad:</w:t>
            </w:r>
          </w:p>
          <w:p>
            <w:pPr>
              <w:pStyle w:val="TableParagraph"/>
              <w:spacing w:before="87"/>
              <w:ind w:left="0" w:right="6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Función: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2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Desarrollo</w:t>
            </w:r>
            <w:r>
              <w:rPr>
                <w:rFonts w:ascii="Calibri"/>
                <w:spacing w:val="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social</w:t>
            </w:r>
          </w:p>
          <w:p>
            <w:pPr>
              <w:pStyle w:val="TableParagraph"/>
              <w:spacing w:before="87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</w:p>
        </w:tc>
      </w:tr>
      <w:tr>
        <w:trPr>
          <w:trHeight w:val="331" w:hRule="atLeast"/>
        </w:trPr>
        <w:tc>
          <w:tcPr>
            <w:tcW w:w="2399" w:type="dxa"/>
            <w:tcBorders>
              <w:left w:val="nil"/>
              <w:bottom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5"/>
              <w:ind w:left="0" w:right="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Subfunción:</w:t>
            </w:r>
          </w:p>
        </w:tc>
        <w:tc>
          <w:tcPr>
            <w:tcW w:w="10481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Superior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068"/>
        <w:gridCol w:w="1435"/>
        <w:gridCol w:w="2595"/>
        <w:gridCol w:w="1858"/>
        <w:gridCol w:w="1381"/>
        <w:gridCol w:w="1287"/>
        <w:gridCol w:w="997"/>
      </w:tblGrid>
      <w:tr>
        <w:trPr>
          <w:trHeight w:val="543" w:hRule="atLeast"/>
        </w:trPr>
        <w:tc>
          <w:tcPr>
            <w:tcW w:w="224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Eje</w:t>
            </w:r>
            <w:r>
              <w:rPr>
                <w:rFonts w:ascii="Arial Black"/>
                <w:w w:val="95"/>
                <w:sz w:val="20"/>
              </w:rPr>
              <w:t> </w:t>
            </w:r>
            <w:r>
              <w:rPr>
                <w:rFonts w:ascii="Arial Black"/>
                <w:spacing w:val="-5"/>
                <w:w w:val="95"/>
                <w:sz w:val="20"/>
              </w:rPr>
              <w:t>PDI</w:t>
            </w:r>
          </w:p>
        </w:tc>
        <w:tc>
          <w:tcPr>
            <w:tcW w:w="306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11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Objetivo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PDI</w:t>
            </w:r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61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Nivel</w:t>
            </w:r>
            <w:r>
              <w:rPr>
                <w:rFonts w:ascii="Arial Black"/>
                <w:spacing w:val="-6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MIR</w:t>
            </w:r>
          </w:p>
        </w:tc>
        <w:tc>
          <w:tcPr>
            <w:tcW w:w="259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82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Indicador</w:t>
            </w:r>
          </w:p>
        </w:tc>
        <w:tc>
          <w:tcPr>
            <w:tcW w:w="185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0"/>
                <w:sz w:val="20"/>
              </w:rPr>
              <w:t>Actividad</w:t>
            </w:r>
            <w:r>
              <w:rPr>
                <w:rFonts w:ascii="Arial Black"/>
                <w:sz w:val="20"/>
              </w:rPr>
              <w:t> </w:t>
            </w:r>
            <w:r>
              <w:rPr>
                <w:rFonts w:ascii="Arial Black"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53" w:lineRule="exact" w:before="0"/>
              <w:ind w:left="48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proyecto</w:t>
            </w:r>
          </w:p>
        </w:tc>
        <w:tc>
          <w:tcPr>
            <w:tcW w:w="1381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5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Tipo</w:t>
            </w:r>
          </w:p>
        </w:tc>
        <w:tc>
          <w:tcPr>
            <w:tcW w:w="128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4" w:right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Dimensión</w:t>
            </w:r>
          </w:p>
        </w:tc>
        <w:tc>
          <w:tcPr>
            <w:tcW w:w="99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24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Meta</w:t>
            </w:r>
          </w:p>
          <w:p>
            <w:pPr>
              <w:pStyle w:val="TableParagraph"/>
              <w:spacing w:line="253" w:lineRule="exact" w:before="0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95"/>
                <w:sz w:val="20"/>
              </w:rPr>
              <w:t>2021</w:t>
            </w:r>
          </w:p>
        </w:tc>
      </w:tr>
      <w:tr>
        <w:trPr>
          <w:trHeight w:val="1343" w:hRule="atLeast"/>
        </w:trPr>
        <w:tc>
          <w:tcPr>
            <w:tcW w:w="224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51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Eje</w:t>
            </w:r>
            <w:r>
              <w:rPr>
                <w:rFonts w:ascii="Arial Black"/>
                <w:spacing w:val="1"/>
                <w:sz w:val="20"/>
              </w:rPr>
              <w:t> </w:t>
            </w:r>
            <w:r>
              <w:rPr>
                <w:rFonts w:ascii="Arial Black"/>
                <w:w w:val="85"/>
                <w:sz w:val="20"/>
              </w:rPr>
              <w:t>rector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w w:val="85"/>
                <w:sz w:val="20"/>
              </w:rPr>
              <w:t>3.</w:t>
            </w:r>
          </w:p>
          <w:p>
            <w:pPr>
              <w:pStyle w:val="TableParagraph"/>
              <w:spacing w:line="232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5" w:lineRule="auto" w:before="6"/>
              <w:ind w:right="202"/>
              <w:rPr>
                <w:sz w:val="20"/>
              </w:rPr>
            </w:pPr>
            <w:r>
              <w:rPr>
                <w:sz w:val="20"/>
              </w:rPr>
              <w:t>3.1 Sistematizar los servicios </w:t>
            </w:r>
            <w:r>
              <w:rPr>
                <w:w w:val="105"/>
                <w:sz w:val="20"/>
              </w:rPr>
              <w:t>de extensión y cultura que contribuyen al logro del modelo educativo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institucional.</w:t>
            </w:r>
          </w:p>
        </w:tc>
        <w:tc>
          <w:tcPr>
            <w:tcW w:w="143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5" w:lineRule="auto" w:before="6"/>
              <w:ind w:right="175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programas de becas internos</w:t>
            </w:r>
          </w:p>
        </w:tc>
        <w:tc>
          <w:tcPr>
            <w:tcW w:w="185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6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1089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 w:right="42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</w:t>
            </w:r>
            <w:r>
              <w:rPr>
                <w:rFonts w:ascii="Arial Black" w:hAnsi="Arial Black"/>
                <w:spacing w:val="19"/>
                <w:sz w:val="20"/>
              </w:rPr>
              <w:t> </w:t>
            </w:r>
            <w:r>
              <w:rPr>
                <w:rFonts w:ascii="Arial Black" w:hAnsi="Arial Black"/>
                <w:spacing w:val="-8"/>
                <w:w w:val="95"/>
                <w:sz w:val="20"/>
              </w:rPr>
              <w:t>con</w:t>
            </w:r>
          </w:p>
          <w:p>
            <w:pPr>
              <w:pStyle w:val="TableParagraph"/>
              <w:spacing w:line="249" w:lineRule="exact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31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3.2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Fortalecer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vinculación con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grupos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interés de la Institución.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alumnos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 realizan práctica </w:t>
            </w:r>
            <w:r>
              <w:rPr>
                <w:spacing w:val="-2"/>
                <w:w w:val="105"/>
                <w:sz w:val="20"/>
              </w:rPr>
              <w:t>profesional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</w:tr>
      <w:tr>
        <w:trPr>
          <w:trHeight w:val="1089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 w:right="42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</w:t>
            </w:r>
            <w:r>
              <w:rPr>
                <w:rFonts w:ascii="Arial Black" w:hAnsi="Arial Black"/>
                <w:spacing w:val="19"/>
                <w:sz w:val="20"/>
              </w:rPr>
              <w:t> </w:t>
            </w:r>
            <w:r>
              <w:rPr>
                <w:rFonts w:ascii="Arial Black" w:hAnsi="Arial Black"/>
                <w:spacing w:val="-8"/>
                <w:w w:val="95"/>
                <w:sz w:val="20"/>
              </w:rPr>
              <w:t>con</w:t>
            </w:r>
          </w:p>
          <w:p>
            <w:pPr>
              <w:pStyle w:val="TableParagraph"/>
              <w:spacing w:line="249" w:lineRule="exact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31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3.2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Fortalecer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vinculación con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grupos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interés de la Institución.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convenios </w:t>
            </w:r>
            <w:r>
              <w:rPr>
                <w:spacing w:val="-2"/>
                <w:w w:val="105"/>
                <w:sz w:val="20"/>
              </w:rPr>
              <w:t>institucionales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854" w:hRule="atLeast"/>
        </w:trPr>
        <w:tc>
          <w:tcPr>
            <w:tcW w:w="2247" w:type="dxa"/>
          </w:tcPr>
          <w:p>
            <w:pPr>
              <w:pStyle w:val="TableParagraph"/>
              <w:spacing w:line="230" w:lineRule="auto" w:before="22"/>
              <w:ind w:left="110" w:right="808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de</w:t>
            </w:r>
          </w:p>
          <w:p>
            <w:pPr>
              <w:pStyle w:val="TableParagraph"/>
              <w:spacing w:line="271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5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1.3 Mejorar el rendimiento escolar de los alumnos.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Alumnos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atendidos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 programas de tutoría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 </w:t>
            </w:r>
            <w:r>
              <w:rPr>
                <w:spacing w:val="-2"/>
                <w:sz w:val="20"/>
              </w:rPr>
              <w:t>Educación</w:t>
            </w:r>
          </w:p>
          <w:p>
            <w:pPr>
              <w:pStyle w:val="TableParagraph"/>
              <w:spacing w:line="270" w:lineRule="atLeast" w:before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3800</w:t>
            </w:r>
          </w:p>
        </w:tc>
      </w:tr>
      <w:tr>
        <w:trPr>
          <w:trHeight w:val="1362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sz w:val="20"/>
              </w:rPr>
              <w:t>3.1 Sistematizar los servicios </w:t>
            </w:r>
            <w:r>
              <w:rPr>
                <w:w w:val="105"/>
                <w:sz w:val="20"/>
              </w:rPr>
              <w:t>de extensión y cultura que contribuyen al logro del modelo educativo</w:t>
            </w:r>
          </w:p>
          <w:p>
            <w:pPr>
              <w:pStyle w:val="TableParagraph"/>
              <w:spacing w:line="222" w:lineRule="exact" w:before="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institucional.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ind w:right="19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 servicios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salud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física y emocional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5840" w:h="12240" w:orient="landscape"/>
          <w:pgMar w:header="383" w:footer="0" w:top="1480" w:bottom="280" w:left="360" w:right="360"/>
        </w:sectPr>
      </w:pPr>
    </w:p>
    <w:tbl>
      <w:tblPr>
        <w:tblW w:w="0" w:type="auto"/>
        <w:jc w:val="left"/>
        <w:tblCellSpacing w:w="6" w:type="dxa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0487"/>
      </w:tblGrid>
      <w:tr>
        <w:trPr>
          <w:trHeight w:val="330" w:hRule="atLeast"/>
        </w:trPr>
        <w:tc>
          <w:tcPr>
            <w:tcW w:w="2399" w:type="dxa"/>
            <w:tcBorders>
              <w:top w:val="nil"/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4"/>
              <w:ind w:left="0" w:right="7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Programa</w:t>
            </w:r>
            <w:r>
              <w:rPr>
                <w:rFonts w:ascii="Calibri"/>
                <w:color w:val="FFFFFF"/>
                <w:spacing w:val="-9"/>
                <w:sz w:val="20"/>
              </w:rPr>
              <w:t> </w:t>
            </w:r>
            <w:r>
              <w:rPr>
                <w:rFonts w:ascii="Calibri"/>
                <w:color w:val="FFFFFF"/>
                <w:spacing w:val="-2"/>
                <w:sz w:val="20"/>
              </w:rPr>
              <w:t>Presupuestario:</w:t>
            </w:r>
          </w:p>
        </w:tc>
        <w:tc>
          <w:tcPr>
            <w:tcW w:w="10481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E404E10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DESARROLLO</w:t>
            </w:r>
          </w:p>
        </w:tc>
      </w:tr>
      <w:tr>
        <w:trPr>
          <w:trHeight w:val="834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51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Eje</w:t>
            </w:r>
            <w:r>
              <w:rPr>
                <w:rFonts w:ascii="Calibri"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4"/>
                <w:sz w:val="20"/>
              </w:rPr>
              <w:t> PED:</w:t>
            </w:r>
          </w:p>
          <w:p>
            <w:pPr>
              <w:pStyle w:val="TableParagraph"/>
              <w:spacing w:before="174"/>
              <w:ind w:left="0"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Reto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pacing w:val="-4"/>
                <w:sz w:val="20"/>
              </w:rPr>
              <w:t>PED: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Todos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sonorenses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oportunidades</w:t>
            </w:r>
          </w:p>
          <w:p>
            <w:pPr>
              <w:pStyle w:val="TableParagraph"/>
              <w:spacing w:line="240" w:lineRule="atLeast" w:before="31"/>
              <w:ind w:left="58" w:righ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Elevar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impulsar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creatividad,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ingenio,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competencias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 los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valores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fundamentales de los sonorenses, potencializando el talento del personal docente y desarrollando sus capacidades de aprendizaje.</w:t>
            </w:r>
          </w:p>
        </w:tc>
      </w:tr>
      <w:tr>
        <w:trPr>
          <w:trHeight w:val="659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2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Finalidad:</w:t>
            </w:r>
          </w:p>
          <w:p>
            <w:pPr>
              <w:pStyle w:val="TableParagraph"/>
              <w:spacing w:before="87"/>
              <w:ind w:left="0" w:right="6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Función: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2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Desarrollo</w:t>
            </w:r>
            <w:r>
              <w:rPr>
                <w:rFonts w:ascii="Calibri"/>
                <w:spacing w:val="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social</w:t>
            </w:r>
          </w:p>
          <w:p>
            <w:pPr>
              <w:pStyle w:val="TableParagraph"/>
              <w:spacing w:before="87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</w:p>
        </w:tc>
      </w:tr>
      <w:tr>
        <w:trPr>
          <w:trHeight w:val="331" w:hRule="atLeast"/>
        </w:trPr>
        <w:tc>
          <w:tcPr>
            <w:tcW w:w="2399" w:type="dxa"/>
            <w:tcBorders>
              <w:left w:val="nil"/>
              <w:bottom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5"/>
              <w:ind w:left="0" w:right="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Subfunción:</w:t>
            </w:r>
          </w:p>
        </w:tc>
        <w:tc>
          <w:tcPr>
            <w:tcW w:w="10481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Superior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068"/>
        <w:gridCol w:w="1435"/>
        <w:gridCol w:w="2595"/>
        <w:gridCol w:w="1858"/>
        <w:gridCol w:w="1381"/>
        <w:gridCol w:w="1287"/>
        <w:gridCol w:w="997"/>
      </w:tblGrid>
      <w:tr>
        <w:trPr>
          <w:trHeight w:val="543" w:hRule="atLeast"/>
        </w:trPr>
        <w:tc>
          <w:tcPr>
            <w:tcW w:w="224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Eje</w:t>
            </w:r>
            <w:r>
              <w:rPr>
                <w:rFonts w:ascii="Arial Black"/>
                <w:w w:val="95"/>
                <w:sz w:val="20"/>
              </w:rPr>
              <w:t> </w:t>
            </w:r>
            <w:r>
              <w:rPr>
                <w:rFonts w:ascii="Arial Black"/>
                <w:spacing w:val="-5"/>
                <w:w w:val="95"/>
                <w:sz w:val="20"/>
              </w:rPr>
              <w:t>PDI</w:t>
            </w:r>
          </w:p>
        </w:tc>
        <w:tc>
          <w:tcPr>
            <w:tcW w:w="306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11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Objetivo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PDI</w:t>
            </w:r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61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Nivel</w:t>
            </w:r>
            <w:r>
              <w:rPr>
                <w:rFonts w:ascii="Arial Black"/>
                <w:spacing w:val="-6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MIR</w:t>
            </w:r>
          </w:p>
        </w:tc>
        <w:tc>
          <w:tcPr>
            <w:tcW w:w="259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82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Indicador</w:t>
            </w:r>
          </w:p>
        </w:tc>
        <w:tc>
          <w:tcPr>
            <w:tcW w:w="185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0"/>
                <w:sz w:val="20"/>
              </w:rPr>
              <w:t>Actividad</w:t>
            </w:r>
            <w:r>
              <w:rPr>
                <w:rFonts w:ascii="Arial Black"/>
                <w:sz w:val="20"/>
              </w:rPr>
              <w:t> </w:t>
            </w:r>
            <w:r>
              <w:rPr>
                <w:rFonts w:ascii="Arial Black"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53" w:lineRule="exact" w:before="0"/>
              <w:ind w:left="48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proyecto</w:t>
            </w:r>
          </w:p>
        </w:tc>
        <w:tc>
          <w:tcPr>
            <w:tcW w:w="1381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5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Tipo</w:t>
            </w:r>
          </w:p>
        </w:tc>
        <w:tc>
          <w:tcPr>
            <w:tcW w:w="128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4" w:right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Dimensión</w:t>
            </w:r>
          </w:p>
        </w:tc>
        <w:tc>
          <w:tcPr>
            <w:tcW w:w="99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24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Meta</w:t>
            </w:r>
          </w:p>
          <w:p>
            <w:pPr>
              <w:pStyle w:val="TableParagraph"/>
              <w:spacing w:line="253" w:lineRule="exact" w:before="0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95"/>
                <w:sz w:val="20"/>
              </w:rPr>
              <w:t>2021</w:t>
            </w:r>
          </w:p>
        </w:tc>
      </w:tr>
      <w:tr>
        <w:trPr>
          <w:trHeight w:val="1119" w:hRule="atLeast"/>
        </w:trPr>
        <w:tc>
          <w:tcPr>
            <w:tcW w:w="224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51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Eje</w:t>
            </w:r>
            <w:r>
              <w:rPr>
                <w:rFonts w:ascii="Arial Black"/>
                <w:spacing w:val="1"/>
                <w:sz w:val="20"/>
              </w:rPr>
              <w:t> </w:t>
            </w:r>
            <w:r>
              <w:rPr>
                <w:rFonts w:ascii="Arial Black"/>
                <w:w w:val="85"/>
                <w:sz w:val="20"/>
              </w:rPr>
              <w:t>rector</w:t>
            </w:r>
            <w:r>
              <w:rPr>
                <w:rFonts w:ascii="Arial Black"/>
                <w:spacing w:val="3"/>
                <w:sz w:val="20"/>
              </w:rPr>
              <w:t> </w:t>
            </w:r>
            <w:r>
              <w:rPr>
                <w:rFonts w:ascii="Arial Black"/>
                <w:spacing w:val="-5"/>
                <w:w w:val="85"/>
                <w:sz w:val="20"/>
              </w:rPr>
              <w:t>3.</w:t>
            </w:r>
          </w:p>
          <w:p>
            <w:pPr>
              <w:pStyle w:val="TableParagraph"/>
              <w:spacing w:line="232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6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3.4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Fortalecer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programas de cultura y artes </w:t>
            </w:r>
            <w:r>
              <w:rPr>
                <w:spacing w:val="-2"/>
                <w:w w:val="105"/>
                <w:sz w:val="20"/>
              </w:rPr>
              <w:t>universitarios.</w:t>
            </w:r>
          </w:p>
        </w:tc>
        <w:tc>
          <w:tcPr>
            <w:tcW w:w="143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6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actividades culturales y artísticas emprendidas para la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105"/>
                <w:sz w:val="20"/>
              </w:rPr>
              <w:t>difusión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la</w:t>
            </w:r>
            <w:r>
              <w:rPr>
                <w:spacing w:val="-2"/>
                <w:w w:val="105"/>
                <w:sz w:val="20"/>
              </w:rPr>
              <w:t> cultura.</w:t>
            </w:r>
          </w:p>
        </w:tc>
        <w:tc>
          <w:tcPr>
            <w:tcW w:w="185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1363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3. </w:t>
            </w:r>
            <w:r>
              <w:rPr>
                <w:rFonts w:ascii="Arial Black" w:hAnsi="Arial Black"/>
                <w:spacing w:val="-2"/>
                <w:sz w:val="20"/>
              </w:rPr>
              <w:t>Extensión </w:t>
            </w:r>
            <w:r>
              <w:rPr>
                <w:rFonts w:ascii="Arial Black" w:hAnsi="Arial Black"/>
                <w:w w:val="90"/>
                <w:sz w:val="20"/>
              </w:rPr>
              <w:t>universitaria con </w:t>
            </w:r>
            <w:r>
              <w:rPr>
                <w:rFonts w:ascii="Arial Black" w:hAnsi="Arial Black"/>
                <w:w w:val="85"/>
                <w:sz w:val="20"/>
              </w:rPr>
              <w:t>proyección</w:t>
            </w:r>
            <w:r>
              <w:rPr>
                <w:rFonts w:ascii="Arial Black" w:hAnsi="Arial Black"/>
                <w:spacing w:val="37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social</w:t>
            </w:r>
          </w:p>
        </w:tc>
        <w:tc>
          <w:tcPr>
            <w:tcW w:w="3068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3.3 Fortalecer el hábito de estilos de vida saludable, cultura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comunidad universitaria y</w:t>
            </w:r>
          </w:p>
          <w:p>
            <w:pPr>
              <w:pStyle w:val="TableParagraph"/>
              <w:spacing w:line="22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sociedad.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Número de actividades deportivas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cultura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física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1139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 w:right="81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Eje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rector</w:t>
            </w:r>
            <w:r>
              <w:rPr>
                <w:rFonts w:ascii="Arial Black" w:hAnsi="Arial Black"/>
                <w:spacing w:val="-15"/>
                <w:sz w:val="20"/>
              </w:rPr>
              <w:t> </w:t>
            </w:r>
            <w:r>
              <w:rPr>
                <w:rFonts w:ascii="Arial Black" w:hAnsi="Arial Black"/>
                <w:spacing w:val="-2"/>
                <w:sz w:val="20"/>
              </w:rPr>
              <w:t>1.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Educación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4"/>
                <w:w w:val="90"/>
                <w:sz w:val="20"/>
              </w:rPr>
              <w:t>de </w:t>
            </w:r>
            <w:r>
              <w:rPr>
                <w:rFonts w:ascii="Arial Black" w:hAnsi="Arial Black"/>
                <w:spacing w:val="-2"/>
                <w:sz w:val="20"/>
              </w:rPr>
              <w:t>excelencia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1.4 Consolidar el desarrollo del personal académico que impacte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desempeño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la actividad docente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Número de profesores (PTC y auxiliares) con </w:t>
            </w:r>
            <w:r>
              <w:rPr>
                <w:sz w:val="20"/>
              </w:rPr>
              <w:t>capacitación pedagógica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Estratégico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>
        <w:trPr>
          <w:trHeight w:val="1363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Eje</w:t>
            </w:r>
            <w:r>
              <w:rPr>
                <w:rFonts w:ascii="Arial Black" w:hAnsi="Arial Black"/>
                <w:spacing w:val="-8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rector</w:t>
            </w:r>
            <w:r>
              <w:rPr>
                <w:rFonts w:ascii="Arial Black" w:hAnsi="Arial Black"/>
                <w:spacing w:val="-7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2.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Investigación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y </w:t>
            </w:r>
            <w:r>
              <w:rPr>
                <w:rFonts w:ascii="Arial Black" w:hAnsi="Arial Black"/>
                <w:spacing w:val="-2"/>
                <w:sz w:val="20"/>
              </w:rPr>
              <w:t>Desarrollo Tecnológico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ind w:right="200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2.1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Fortalecer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investigación </w:t>
            </w:r>
            <w:r>
              <w:rPr>
                <w:w w:val="105"/>
                <w:sz w:val="20"/>
              </w:rPr>
              <w:t>básica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aplicada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orientada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 desarrollo sostenible.</w:t>
            </w:r>
          </w:p>
        </w:tc>
        <w:tc>
          <w:tcPr>
            <w:tcW w:w="1435" w:type="dxa"/>
          </w:tcPr>
          <w:p>
            <w:pPr>
              <w:pStyle w:val="TableParagraph"/>
              <w:ind w:left="61" w:right="5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5" w:lineRule="auto"/>
              <w:ind w:right="175"/>
              <w:rPr>
                <w:sz w:val="20"/>
              </w:rPr>
            </w:pPr>
            <w:r>
              <w:rPr>
                <w:w w:val="105"/>
                <w:sz w:val="20"/>
              </w:rPr>
              <w:t>Número de profesores de tiempo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competo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 son responsables de proyectos de</w:t>
            </w:r>
          </w:p>
          <w:p>
            <w:pPr>
              <w:pStyle w:val="TableParagraph"/>
              <w:spacing w:line="222" w:lineRule="exact" w:before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investigación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Educación </w:t>
            </w:r>
            <w:r>
              <w:rPr>
                <w:spacing w:val="-2"/>
                <w:w w:val="105"/>
                <w:sz w:val="20"/>
              </w:rPr>
              <w:t>Superior Universitaria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Eficacia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5840" w:h="12240" w:orient="landscape"/>
          <w:pgMar w:header="383" w:footer="0" w:top="1480" w:bottom="280" w:left="360" w:right="360"/>
        </w:sectPr>
      </w:pPr>
    </w:p>
    <w:tbl>
      <w:tblPr>
        <w:tblW w:w="0" w:type="auto"/>
        <w:jc w:val="left"/>
        <w:tblCellSpacing w:w="6" w:type="dxa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0487"/>
      </w:tblGrid>
      <w:tr>
        <w:trPr>
          <w:trHeight w:val="330" w:hRule="atLeast"/>
        </w:trPr>
        <w:tc>
          <w:tcPr>
            <w:tcW w:w="2399" w:type="dxa"/>
            <w:tcBorders>
              <w:top w:val="nil"/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4"/>
              <w:ind w:left="0" w:right="7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Programa</w:t>
            </w:r>
            <w:r>
              <w:rPr>
                <w:rFonts w:ascii="Calibri"/>
                <w:color w:val="FFFFFF"/>
                <w:spacing w:val="-9"/>
                <w:sz w:val="20"/>
              </w:rPr>
              <w:t> </w:t>
            </w:r>
            <w:r>
              <w:rPr>
                <w:rFonts w:ascii="Calibri"/>
                <w:color w:val="FFFFFF"/>
                <w:spacing w:val="-2"/>
                <w:sz w:val="20"/>
              </w:rPr>
              <w:t>Presupuestario:</w:t>
            </w:r>
          </w:p>
        </w:tc>
        <w:tc>
          <w:tcPr>
            <w:tcW w:w="10481" w:type="dxa"/>
            <w:tcBorders>
              <w:top w:val="nil"/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4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E404E10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DESARROLLO</w:t>
            </w:r>
          </w:p>
        </w:tc>
      </w:tr>
      <w:tr>
        <w:trPr>
          <w:trHeight w:val="834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51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Eje</w:t>
            </w:r>
            <w:r>
              <w:rPr>
                <w:rFonts w:ascii="Calibri"/>
                <w:color w:val="FFFFFF"/>
                <w:spacing w:val="-4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4"/>
                <w:sz w:val="20"/>
              </w:rPr>
              <w:t> PED:</w:t>
            </w:r>
          </w:p>
          <w:p>
            <w:pPr>
              <w:pStyle w:val="TableParagraph"/>
              <w:spacing w:before="174"/>
              <w:ind w:left="0" w:right="7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Reto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z w:val="20"/>
              </w:rPr>
              <w:t>del</w:t>
            </w:r>
            <w:r>
              <w:rPr>
                <w:rFonts w:ascii="Calibri"/>
                <w:color w:val="FFFFFF"/>
                <w:spacing w:val="-5"/>
                <w:sz w:val="20"/>
              </w:rPr>
              <w:t> </w:t>
            </w:r>
            <w:r>
              <w:rPr>
                <w:rFonts w:ascii="Calibri"/>
                <w:color w:val="FFFFFF"/>
                <w:spacing w:val="-4"/>
                <w:sz w:val="20"/>
              </w:rPr>
              <w:t>PED: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51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Todos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sonorenses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todas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oportunidades</w:t>
            </w:r>
          </w:p>
          <w:p>
            <w:pPr>
              <w:pStyle w:val="TableParagraph"/>
              <w:spacing w:line="240" w:lineRule="atLeast" w:before="31"/>
              <w:ind w:left="58" w:right="1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Elevar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impulsar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creatividad,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ingenio,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competencias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 los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valores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fundamentales de los sonorenses, potencializando el talento del personal docente y desarrollando sus capacidades de aprendizaje.</w:t>
            </w:r>
          </w:p>
        </w:tc>
      </w:tr>
      <w:tr>
        <w:trPr>
          <w:trHeight w:val="659" w:hRule="atLeast"/>
        </w:trPr>
        <w:tc>
          <w:tcPr>
            <w:tcW w:w="2399" w:type="dxa"/>
            <w:tcBorders>
              <w:left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2"/>
              <w:ind w:left="0" w:right="6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Finalidad:</w:t>
            </w:r>
          </w:p>
          <w:p>
            <w:pPr>
              <w:pStyle w:val="TableParagraph"/>
              <w:spacing w:before="87"/>
              <w:ind w:left="0" w:right="6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Función:</w:t>
            </w:r>
          </w:p>
        </w:tc>
        <w:tc>
          <w:tcPr>
            <w:tcW w:w="1048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2"/>
              <w:ind w:left="5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Desarrollo</w:t>
            </w:r>
            <w:r>
              <w:rPr>
                <w:rFonts w:ascii="Calibri"/>
                <w:spacing w:val="8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social</w:t>
            </w:r>
          </w:p>
          <w:p>
            <w:pPr>
              <w:pStyle w:val="TableParagraph"/>
              <w:spacing w:before="87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</w:p>
        </w:tc>
      </w:tr>
      <w:tr>
        <w:trPr>
          <w:trHeight w:val="331" w:hRule="atLeast"/>
        </w:trPr>
        <w:tc>
          <w:tcPr>
            <w:tcW w:w="2399" w:type="dxa"/>
            <w:tcBorders>
              <w:left w:val="nil"/>
              <w:bottom w:val="nil"/>
              <w:right w:val="nil"/>
            </w:tcBorders>
            <w:shd w:val="clear" w:color="auto" w:fill="2E75B5"/>
          </w:tcPr>
          <w:p>
            <w:pPr>
              <w:pStyle w:val="TableParagraph"/>
              <w:spacing w:before="45"/>
              <w:ind w:left="0" w:right="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spacing w:val="-2"/>
                <w:sz w:val="20"/>
              </w:rPr>
              <w:t>Subfunción:</w:t>
            </w:r>
          </w:p>
        </w:tc>
        <w:tc>
          <w:tcPr>
            <w:tcW w:w="10481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Educación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Superior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068"/>
        <w:gridCol w:w="1435"/>
        <w:gridCol w:w="2595"/>
        <w:gridCol w:w="1858"/>
        <w:gridCol w:w="1381"/>
        <w:gridCol w:w="1287"/>
        <w:gridCol w:w="997"/>
      </w:tblGrid>
      <w:tr>
        <w:trPr>
          <w:trHeight w:val="543" w:hRule="atLeast"/>
        </w:trPr>
        <w:tc>
          <w:tcPr>
            <w:tcW w:w="224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Eje</w:t>
            </w:r>
            <w:r>
              <w:rPr>
                <w:rFonts w:ascii="Arial Black"/>
                <w:w w:val="95"/>
                <w:sz w:val="20"/>
              </w:rPr>
              <w:t> </w:t>
            </w:r>
            <w:r>
              <w:rPr>
                <w:rFonts w:ascii="Arial Black"/>
                <w:spacing w:val="-5"/>
                <w:w w:val="95"/>
                <w:sz w:val="20"/>
              </w:rPr>
              <w:t>PDI</w:t>
            </w:r>
          </w:p>
        </w:tc>
        <w:tc>
          <w:tcPr>
            <w:tcW w:w="306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911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Objetivo</w:t>
            </w:r>
            <w:r>
              <w:rPr>
                <w:rFonts w:ascii="Arial Black"/>
                <w:spacing w:val="2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PDI</w:t>
            </w:r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61" w:right="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Nivel</w:t>
            </w:r>
            <w:r>
              <w:rPr>
                <w:rFonts w:ascii="Arial Black"/>
                <w:spacing w:val="-6"/>
                <w:sz w:val="20"/>
              </w:rPr>
              <w:t> </w:t>
            </w:r>
            <w:r>
              <w:rPr>
                <w:rFonts w:ascii="Arial Black"/>
                <w:spacing w:val="-5"/>
                <w:sz w:val="20"/>
              </w:rPr>
              <w:t>MIR</w:t>
            </w:r>
          </w:p>
        </w:tc>
        <w:tc>
          <w:tcPr>
            <w:tcW w:w="2595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82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Indicador</w:t>
            </w:r>
          </w:p>
        </w:tc>
        <w:tc>
          <w:tcPr>
            <w:tcW w:w="1858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w w:val="90"/>
                <w:sz w:val="20"/>
              </w:rPr>
              <w:t>Actividad</w:t>
            </w:r>
            <w:r>
              <w:rPr>
                <w:rFonts w:ascii="Arial Black"/>
                <w:sz w:val="20"/>
              </w:rPr>
              <w:t> </w:t>
            </w:r>
            <w:r>
              <w:rPr>
                <w:rFonts w:ascii="Arial Black"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53" w:lineRule="exact" w:before="0"/>
              <w:ind w:left="48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proyecto</w:t>
            </w:r>
          </w:p>
        </w:tc>
        <w:tc>
          <w:tcPr>
            <w:tcW w:w="1381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5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Tipo</w:t>
            </w:r>
          </w:p>
        </w:tc>
        <w:tc>
          <w:tcPr>
            <w:tcW w:w="128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before="130"/>
              <w:ind w:left="4" w:right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Dimensión</w:t>
            </w:r>
          </w:p>
        </w:tc>
        <w:tc>
          <w:tcPr>
            <w:tcW w:w="997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271" w:lineRule="exact" w:before="0"/>
              <w:ind w:left="24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Meta</w:t>
            </w:r>
          </w:p>
          <w:p>
            <w:pPr>
              <w:pStyle w:val="TableParagraph"/>
              <w:spacing w:line="253" w:lineRule="exact" w:before="0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w w:val="95"/>
                <w:sz w:val="20"/>
              </w:rPr>
              <w:t>2021</w:t>
            </w:r>
          </w:p>
        </w:tc>
      </w:tr>
      <w:tr>
        <w:trPr>
          <w:trHeight w:val="1074" w:hRule="atLeast"/>
        </w:trPr>
        <w:tc>
          <w:tcPr>
            <w:tcW w:w="224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51" w:lineRule="exact" w:before="0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Eje</w:t>
            </w:r>
            <w:r>
              <w:rPr>
                <w:rFonts w:ascii="Arial Black" w:hAnsi="Arial Black"/>
                <w:spacing w:val="-5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rector</w:t>
            </w:r>
            <w:r>
              <w:rPr>
                <w:rFonts w:ascii="Arial Black" w:hAnsi="Arial Black"/>
                <w:spacing w:val="-3"/>
                <w:sz w:val="20"/>
              </w:rPr>
              <w:t> </w:t>
            </w:r>
            <w:r>
              <w:rPr>
                <w:rFonts w:ascii="Arial Black" w:hAnsi="Arial Black"/>
                <w:w w:val="85"/>
                <w:sz w:val="20"/>
              </w:rPr>
              <w:t>4.</w:t>
            </w:r>
            <w:r>
              <w:rPr>
                <w:rFonts w:ascii="Arial Black" w:hAnsi="Arial Black"/>
                <w:spacing w:val="-4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85"/>
                <w:sz w:val="20"/>
              </w:rPr>
              <w:t>Gestión</w:t>
            </w:r>
          </w:p>
          <w:p>
            <w:pPr>
              <w:pStyle w:val="TableParagraph"/>
              <w:spacing w:line="230" w:lineRule="auto" w:before="4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administrativa con </w:t>
            </w:r>
            <w:r>
              <w:rPr>
                <w:rFonts w:ascii="Arial Black"/>
                <w:sz w:val="20"/>
              </w:rPr>
              <w:t>enfoque</w:t>
            </w:r>
            <w:r>
              <w:rPr>
                <w:rFonts w:ascii="Arial Black"/>
                <w:spacing w:val="-4"/>
                <w:sz w:val="20"/>
              </w:rPr>
              <w:t> </w:t>
            </w:r>
            <w:r>
              <w:rPr>
                <w:rFonts w:ascii="Arial Black"/>
                <w:sz w:val="20"/>
              </w:rPr>
              <w:t>en</w:t>
            </w:r>
          </w:p>
          <w:p>
            <w:pPr>
              <w:pStyle w:val="TableParagraph"/>
              <w:spacing w:line="257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resultados</w:t>
            </w:r>
          </w:p>
        </w:tc>
        <w:tc>
          <w:tcPr>
            <w:tcW w:w="306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3" w:lineRule="auto" w:before="6"/>
              <w:rPr>
                <w:sz w:val="20"/>
              </w:rPr>
            </w:pPr>
            <w:r>
              <w:rPr>
                <w:w w:val="105"/>
                <w:sz w:val="20"/>
              </w:rPr>
              <w:t>4.1 Impulsar un modelo de gestión eficiente para el cumplimiento de la misión </w:t>
            </w:r>
            <w:r>
              <w:rPr>
                <w:w w:val="105"/>
                <w:sz w:val="20"/>
              </w:rPr>
              <w:t>y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visión.</w:t>
            </w:r>
          </w:p>
        </w:tc>
        <w:tc>
          <w:tcPr>
            <w:tcW w:w="143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6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5" w:lineRule="auto" w:before="6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Índice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satisfacción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 los usuarios</w:t>
            </w:r>
          </w:p>
        </w:tc>
        <w:tc>
          <w:tcPr>
            <w:tcW w:w="1858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85" w:lineRule="auto" w:before="6"/>
              <w:ind w:left="251" w:hanging="1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287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Coordinació</w:t>
            </w:r>
            <w:r>
              <w:rPr>
                <w:spacing w:val="-2"/>
                <w:w w:val="105"/>
                <w:sz w:val="20"/>
              </w:rPr>
              <w:t>n</w:t>
            </w:r>
            <w:r>
              <w:rPr>
                <w:spacing w:val="-2"/>
                <w:w w:val="105"/>
                <w:sz w:val="20"/>
              </w:rPr>
              <w:t> Administrativa</w:t>
            </w:r>
          </w:p>
        </w:tc>
        <w:tc>
          <w:tcPr>
            <w:tcW w:w="138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Calidad</w:t>
            </w:r>
          </w:p>
        </w:tc>
        <w:tc>
          <w:tcPr>
            <w:tcW w:w="997" w:type="dxa"/>
            <w:tcBorders>
              <w:top w:val="single" w:sz="12" w:space="0" w:color="8EAADB"/>
            </w:tcBorders>
          </w:tcPr>
          <w:p>
            <w:pPr>
              <w:pStyle w:val="TableParagraph"/>
              <w:spacing w:before="6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</w:tr>
      <w:tr>
        <w:trPr>
          <w:trHeight w:val="1092" w:hRule="atLeast"/>
        </w:trPr>
        <w:tc>
          <w:tcPr>
            <w:tcW w:w="2247" w:type="dxa"/>
          </w:tcPr>
          <w:p>
            <w:pPr>
              <w:pStyle w:val="TableParagraph"/>
              <w:spacing w:line="232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w w:val="90"/>
                <w:sz w:val="20"/>
              </w:rPr>
              <w:t>Eje</w:t>
            </w:r>
            <w:r>
              <w:rPr>
                <w:rFonts w:ascii="Arial Black" w:hAnsi="Arial Black"/>
                <w:spacing w:val="-9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rector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4.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Gestión </w:t>
            </w:r>
            <w:r>
              <w:rPr>
                <w:rFonts w:ascii="Arial Black" w:hAnsi="Arial Black"/>
                <w:spacing w:val="-4"/>
                <w:sz w:val="20"/>
              </w:rPr>
              <w:t>administrativa</w:t>
            </w:r>
            <w:r>
              <w:rPr>
                <w:rFonts w:ascii="Arial Black" w:hAnsi="Arial Black"/>
                <w:spacing w:val="-17"/>
                <w:sz w:val="20"/>
              </w:rPr>
              <w:t> </w:t>
            </w:r>
            <w:r>
              <w:rPr>
                <w:rFonts w:ascii="Arial Black" w:hAnsi="Arial Black"/>
                <w:spacing w:val="-4"/>
                <w:sz w:val="20"/>
              </w:rPr>
              <w:t>con </w:t>
            </w:r>
            <w:r>
              <w:rPr>
                <w:rFonts w:ascii="Arial Black" w:hAnsi="Arial Black"/>
                <w:sz w:val="20"/>
              </w:rPr>
              <w:t>enfoque</w:t>
            </w:r>
            <w:r>
              <w:rPr>
                <w:rFonts w:ascii="Arial Black" w:hAnsi="Arial Black"/>
                <w:spacing w:val="-4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en</w:t>
            </w:r>
          </w:p>
          <w:p>
            <w:pPr>
              <w:pStyle w:val="TableParagraph"/>
              <w:spacing w:line="249" w:lineRule="exact" w:before="0"/>
              <w:ind w:left="110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resultados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 w:before="28"/>
              <w:rPr>
                <w:sz w:val="20"/>
              </w:rPr>
            </w:pPr>
            <w:r>
              <w:rPr>
                <w:w w:val="105"/>
                <w:sz w:val="20"/>
              </w:rPr>
              <w:t>4.1 Impulsar un modelo de gestión eficiente para el cumplimiento de la misión </w:t>
            </w:r>
            <w:r>
              <w:rPr>
                <w:w w:val="105"/>
                <w:sz w:val="20"/>
              </w:rPr>
              <w:t>y</w:t>
            </w:r>
          </w:p>
          <w:p>
            <w:pPr>
              <w:pStyle w:val="TableParagraph"/>
              <w:spacing w:line="227" w:lineRule="exact" w:before="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visión.</w:t>
            </w:r>
          </w:p>
        </w:tc>
        <w:tc>
          <w:tcPr>
            <w:tcW w:w="1435" w:type="dxa"/>
          </w:tcPr>
          <w:p>
            <w:pPr>
              <w:pStyle w:val="TableParagraph"/>
              <w:spacing w:before="28"/>
              <w:ind w:left="6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 w:before="28"/>
              <w:ind w:right="175"/>
              <w:rPr>
                <w:sz w:val="20"/>
              </w:rPr>
            </w:pPr>
            <w:r>
              <w:rPr>
                <w:w w:val="105"/>
                <w:sz w:val="20"/>
              </w:rPr>
              <w:t>Número de </w:t>
            </w:r>
            <w:r>
              <w:rPr>
                <w:spacing w:val="-2"/>
                <w:w w:val="105"/>
                <w:sz w:val="20"/>
              </w:rPr>
              <w:t>procedimientos certificados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 w:before="28"/>
              <w:ind w:left="251" w:hanging="1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287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Coordinació</w:t>
            </w:r>
            <w:r>
              <w:rPr>
                <w:spacing w:val="-2"/>
                <w:w w:val="105"/>
                <w:sz w:val="20"/>
              </w:rPr>
              <w:t>n</w:t>
            </w:r>
            <w:r>
              <w:rPr>
                <w:spacing w:val="-2"/>
                <w:w w:val="105"/>
                <w:sz w:val="20"/>
              </w:rPr>
              <w:t> Administrativa</w:t>
            </w:r>
          </w:p>
        </w:tc>
        <w:tc>
          <w:tcPr>
            <w:tcW w:w="1381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Calidad</w:t>
            </w:r>
          </w:p>
        </w:tc>
        <w:tc>
          <w:tcPr>
            <w:tcW w:w="997" w:type="dxa"/>
          </w:tcPr>
          <w:p>
            <w:pPr>
              <w:pStyle w:val="TableParagraph"/>
              <w:spacing w:before="28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1360" w:hRule="atLeast"/>
        </w:trPr>
        <w:tc>
          <w:tcPr>
            <w:tcW w:w="2247" w:type="dxa"/>
          </w:tcPr>
          <w:p>
            <w:pPr>
              <w:pStyle w:val="TableParagraph"/>
              <w:spacing w:line="230" w:lineRule="auto" w:before="2"/>
              <w:ind w:left="11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w w:val="90"/>
                <w:sz w:val="20"/>
              </w:rPr>
              <w:t>Eje</w:t>
            </w:r>
            <w:r>
              <w:rPr>
                <w:rFonts w:ascii="Arial Black" w:hAnsi="Arial Black"/>
                <w:spacing w:val="-9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rector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4.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0"/>
              </w:rPr>
              <w:t>Gestión </w:t>
            </w:r>
            <w:r>
              <w:rPr>
                <w:rFonts w:ascii="Arial Black" w:hAnsi="Arial Black"/>
                <w:spacing w:val="-4"/>
                <w:sz w:val="20"/>
              </w:rPr>
              <w:t>administrativa</w:t>
            </w:r>
            <w:r>
              <w:rPr>
                <w:rFonts w:ascii="Arial Black" w:hAnsi="Arial Black"/>
                <w:spacing w:val="-17"/>
                <w:sz w:val="20"/>
              </w:rPr>
              <w:t> </w:t>
            </w:r>
            <w:r>
              <w:rPr>
                <w:rFonts w:ascii="Arial Black" w:hAnsi="Arial Black"/>
                <w:spacing w:val="-4"/>
                <w:sz w:val="20"/>
              </w:rPr>
              <w:t>con </w:t>
            </w:r>
            <w:r>
              <w:rPr>
                <w:rFonts w:ascii="Arial Black" w:hAnsi="Arial Black"/>
                <w:sz w:val="20"/>
              </w:rPr>
              <w:t>enfoque</w:t>
            </w:r>
            <w:r>
              <w:rPr>
                <w:rFonts w:ascii="Arial Black" w:hAnsi="Arial Black"/>
                <w:spacing w:val="-4"/>
                <w:sz w:val="20"/>
              </w:rPr>
              <w:t> </w:t>
            </w:r>
            <w:r>
              <w:rPr>
                <w:rFonts w:ascii="Arial Black" w:hAnsi="Arial Black"/>
                <w:sz w:val="20"/>
              </w:rPr>
              <w:t>en </w:t>
            </w:r>
            <w:r>
              <w:rPr>
                <w:rFonts w:ascii="Arial Black" w:hAnsi="Arial Black"/>
                <w:spacing w:val="-2"/>
                <w:sz w:val="20"/>
              </w:rPr>
              <w:t>resultados</w:t>
            </w:r>
          </w:p>
        </w:tc>
        <w:tc>
          <w:tcPr>
            <w:tcW w:w="3068" w:type="dxa"/>
          </w:tcPr>
          <w:p>
            <w:pPr>
              <w:pStyle w:val="TableParagraph"/>
              <w:spacing w:line="283" w:lineRule="auto"/>
              <w:rPr>
                <w:sz w:val="20"/>
              </w:rPr>
            </w:pPr>
            <w:r>
              <w:rPr>
                <w:w w:val="105"/>
                <w:sz w:val="20"/>
              </w:rPr>
              <w:t>4.5 Consolidar el modelo de gobernanza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universidad.</w:t>
            </w:r>
          </w:p>
        </w:tc>
        <w:tc>
          <w:tcPr>
            <w:tcW w:w="1435" w:type="dxa"/>
          </w:tcPr>
          <w:p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Actividad</w:t>
            </w:r>
          </w:p>
        </w:tc>
        <w:tc>
          <w:tcPr>
            <w:tcW w:w="2595" w:type="dxa"/>
          </w:tcPr>
          <w:p>
            <w:pPr>
              <w:pStyle w:val="TableParagraph"/>
              <w:spacing w:line="283" w:lineRule="auto"/>
              <w:ind w:right="118"/>
              <w:rPr>
                <w:sz w:val="20"/>
              </w:rPr>
            </w:pPr>
            <w:r>
              <w:rPr>
                <w:w w:val="105"/>
                <w:sz w:val="20"/>
              </w:rPr>
              <w:t>Porcentaje de seguimiento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hallazgos de auditorías externas por organismos</w:t>
            </w:r>
          </w:p>
          <w:p>
            <w:pPr>
              <w:pStyle w:val="TableParagraph"/>
              <w:spacing w:line="225" w:lineRule="exact" w:before="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fiscalizadores</w:t>
            </w:r>
          </w:p>
        </w:tc>
        <w:tc>
          <w:tcPr>
            <w:tcW w:w="1858" w:type="dxa"/>
          </w:tcPr>
          <w:p>
            <w:pPr>
              <w:pStyle w:val="TableParagraph"/>
              <w:spacing w:line="283" w:lineRule="auto"/>
              <w:ind w:left="491" w:hanging="185"/>
              <w:rPr>
                <w:sz w:val="20"/>
              </w:rPr>
            </w:pPr>
            <w:r>
              <w:rPr>
                <w:w w:val="105"/>
                <w:sz w:val="20"/>
              </w:rPr>
              <w:t>280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Vigilancia</w:t>
            </w:r>
          </w:p>
        </w:tc>
        <w:tc>
          <w:tcPr>
            <w:tcW w:w="1381" w:type="dxa"/>
          </w:tcPr>
          <w:p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Gestión</w:t>
            </w:r>
          </w:p>
        </w:tc>
        <w:tc>
          <w:tcPr>
            <w:tcW w:w="1287" w:type="dxa"/>
          </w:tcPr>
          <w:p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Eficiencia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</w:tr>
    </w:tbl>
    <w:sectPr>
      <w:pgSz w:w="15840" w:h="12240" w:orient="landscape"/>
      <w:pgMar w:header="383" w:footer="0" w:top="1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150080">
          <wp:simplePos x="0" y="0"/>
          <wp:positionH relativeFrom="page">
            <wp:posOffset>220345</wp:posOffset>
          </wp:positionH>
          <wp:positionV relativeFrom="page">
            <wp:posOffset>243204</wp:posOffset>
          </wp:positionV>
          <wp:extent cx="1089520" cy="10763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952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0592">
              <wp:simplePos x="0" y="0"/>
              <wp:positionH relativeFrom="page">
                <wp:posOffset>3797934</wp:posOffset>
              </wp:positionH>
              <wp:positionV relativeFrom="page">
                <wp:posOffset>467359</wp:posOffset>
              </wp:positionV>
              <wp:extent cx="2461260" cy="3625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6126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 w:before="0" w:after="0"/>
                            <w:jc w:val="center"/>
                          </w:pPr>
                          <w:r>
                            <w:rPr/>
                            <w:t>INSTITUTO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TECNOLÓGICO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SONORA</w:t>
                          </w:r>
                        </w:p>
                        <w:p>
                          <w:pPr>
                            <w:spacing w:before="21"/>
                            <w:ind w:left="0" w:right="0" w:firstLine="0"/>
                            <w:jc w:val="center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PROGRAMA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OPERATIVO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ANUAL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2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049988pt;margin-top:36.799999pt;width:193.8pt;height:28.55pt;mso-position-horizontal-relative:page;mso-position-vertical-relative:page;z-index:-16165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 w:before="0" w:after="0"/>
                      <w:jc w:val="center"/>
                    </w:pPr>
                    <w:r>
                      <w:rPr/>
                      <w:t>INSTITUTO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TECNOLÓGICO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SONORA</w:t>
                    </w:r>
                  </w:p>
                  <w:p>
                    <w:pPr>
                      <w:spacing w:before="21"/>
                      <w:ind w:left="0" w:right="0" w:firstLine="0"/>
                      <w:jc w:val="center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PROGRAMA</w:t>
                    </w:r>
                    <w:r>
                      <w:rPr>
                        <w:rFonts w:asci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OPERATIVO</w:t>
                    </w:r>
                    <w:r>
                      <w:rPr>
                        <w:rFonts w:asci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ANUAL</w:t>
                    </w:r>
                    <w:r>
                      <w:rPr>
                        <w:rFonts w:ascii="Calibri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9" w:after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10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AD481-C936-4055-BD2C-2E56C9704913}"/>
</file>

<file path=customXml/itemProps2.xml><?xml version="1.0" encoding="utf-8"?>
<ds:datastoreItem xmlns:ds="http://schemas.openxmlformats.org/officeDocument/2006/customXml" ds:itemID="{8AE7DE17-2EAA-445D-B451-341D8E364970}"/>
</file>

<file path=customXml/itemProps3.xml><?xml version="1.0" encoding="utf-8"?>
<ds:datastoreItem xmlns:ds="http://schemas.openxmlformats.org/officeDocument/2006/customXml" ds:itemID="{DEE37359-597E-4459-A3E8-374622BCC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Negrete Saldivar</dc:creator>
  <dcterms:created xsi:type="dcterms:W3CDTF">2025-09-30T18:30:17Z</dcterms:created>
  <dcterms:modified xsi:type="dcterms:W3CDTF">2025-09-30T18:30:17Z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0x0101000F272A21F80BA34CA301758FC46E7D0D</vt:lpwstr>
  </property>
</Properties>
</file>