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-nfasis1"/>
        <w:tblW w:w="0" w:type="auto"/>
        <w:tblLook w:val="0480" w:firstRow="0" w:lastRow="0" w:firstColumn="1" w:lastColumn="0" w:noHBand="0" w:noVBand="1"/>
      </w:tblPr>
      <w:tblGrid>
        <w:gridCol w:w="2832"/>
        <w:gridCol w:w="10063"/>
      </w:tblGrid>
      <w:tr w:rsidR="00F80E96" w:rsidRPr="00F80E96" w:rsidTr="00F80E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noWrap/>
            <w:hideMark/>
          </w:tcPr>
          <w:p w:rsidR="00F80E96" w:rsidRPr="00F80E96" w:rsidRDefault="00F80E96" w:rsidP="00F80E96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 xml:space="preserve">Programa Presupuestario: </w:t>
            </w:r>
          </w:p>
        </w:tc>
        <w:tc>
          <w:tcPr>
            <w:tcW w:w="10063" w:type="dxa"/>
            <w:noWrap/>
            <w:hideMark/>
          </w:tcPr>
          <w:p w:rsidR="00F80E96" w:rsidRPr="00F80E96" w:rsidRDefault="00F80E96" w:rsidP="00F80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E404E10 Educación Superior de Calidad para el Desarrollo</w:t>
            </w:r>
          </w:p>
        </w:tc>
      </w:tr>
      <w:tr w:rsidR="00F80E96" w:rsidRPr="00F80E96" w:rsidTr="00F80E9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hideMark/>
          </w:tcPr>
          <w:p w:rsidR="00F80E96" w:rsidRPr="00F80E96" w:rsidRDefault="00F80E96" w:rsidP="00F80E96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Eje del PED:</w:t>
            </w: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br/>
              <w:t>Objetivo del PED:</w:t>
            </w:r>
          </w:p>
        </w:tc>
        <w:tc>
          <w:tcPr>
            <w:tcW w:w="10063" w:type="dxa"/>
            <w:hideMark/>
          </w:tcPr>
          <w:p w:rsidR="00F80E96" w:rsidRPr="00F80E96" w:rsidRDefault="00F80E96" w:rsidP="00F80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1. Un gobierno para todas y todos</w:t>
            </w: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br/>
              <w:t>1. Educación, Cultura, Juventud, Deporte, Ciencia, Tecnología y Sociedad Digital</w:t>
            </w:r>
          </w:p>
        </w:tc>
      </w:tr>
      <w:tr w:rsidR="00F80E96" w:rsidRPr="00F80E96" w:rsidTr="00F80E9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hideMark/>
          </w:tcPr>
          <w:p w:rsidR="00F80E96" w:rsidRPr="00F80E96" w:rsidRDefault="00F80E96" w:rsidP="00F80E96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Finalidad:</w:t>
            </w: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br/>
              <w:t>Función</w:t>
            </w:r>
          </w:p>
        </w:tc>
        <w:tc>
          <w:tcPr>
            <w:tcW w:w="10063" w:type="dxa"/>
            <w:hideMark/>
          </w:tcPr>
          <w:p w:rsidR="00F80E96" w:rsidRPr="00F80E96" w:rsidRDefault="00F80E96" w:rsidP="00F80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2 Desarrollo social</w:t>
            </w: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br/>
              <w:t>2.5 Educación</w:t>
            </w:r>
          </w:p>
        </w:tc>
      </w:tr>
      <w:tr w:rsidR="00F80E96" w:rsidRPr="00F80E96" w:rsidTr="00F80E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noWrap/>
            <w:hideMark/>
          </w:tcPr>
          <w:p w:rsidR="00F80E96" w:rsidRPr="00F80E96" w:rsidRDefault="00F80E96" w:rsidP="00F80E96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Subfunción:</w:t>
            </w:r>
          </w:p>
        </w:tc>
        <w:tc>
          <w:tcPr>
            <w:tcW w:w="10063" w:type="dxa"/>
            <w:noWrap/>
            <w:hideMark/>
          </w:tcPr>
          <w:p w:rsidR="00F80E96" w:rsidRPr="00F80E96" w:rsidRDefault="00F80E96" w:rsidP="00F80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2.5.03 Educación superior</w:t>
            </w:r>
          </w:p>
        </w:tc>
      </w:tr>
    </w:tbl>
    <w:p w:rsidR="00F80E96" w:rsidRDefault="00F80E96"/>
    <w:tbl>
      <w:tblPr>
        <w:tblStyle w:val="Tabladecuadrcula1clara-nfasis1"/>
        <w:tblW w:w="0" w:type="auto"/>
        <w:tblLook w:val="04A0" w:firstRow="1" w:lastRow="0" w:firstColumn="1" w:lastColumn="0" w:noHBand="0" w:noVBand="1"/>
      </w:tblPr>
      <w:tblGrid>
        <w:gridCol w:w="1721"/>
        <w:gridCol w:w="2764"/>
        <w:gridCol w:w="1312"/>
        <w:gridCol w:w="2403"/>
        <w:gridCol w:w="1690"/>
        <w:gridCol w:w="1143"/>
        <w:gridCol w:w="1180"/>
        <w:gridCol w:w="781"/>
      </w:tblGrid>
      <w:tr w:rsidR="00F80E96" w:rsidRPr="00F80E96" w:rsidTr="00E31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vAlign w:val="center"/>
            <w:hideMark/>
          </w:tcPr>
          <w:p w:rsidR="00F80E96" w:rsidRPr="00E3135F" w:rsidRDefault="00F80E96" w:rsidP="006B6A5F">
            <w:pPr>
              <w:jc w:val="center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Eje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Objetivo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Nivel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Nombre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Actividad o proyecto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Tipo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Dimensión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Meta 2022</w:t>
            </w:r>
          </w:p>
        </w:tc>
      </w:tr>
      <w:tr w:rsidR="00DA02F6" w:rsidRPr="00F80E96" w:rsidTr="00DA02F6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1 1.Consolidar la calidad y la competitividad de la oferta educativa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Cobertura en Educación Superior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113 Educación Superior Universitaria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Estratégico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Eficacia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6.0%</w:t>
            </w:r>
          </w:p>
        </w:tc>
      </w:tr>
      <w:tr w:rsidR="00DA02F6" w:rsidRPr="00F80E96" w:rsidTr="00DA02F6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1.7 Consolidar la oferta de posgrado institucional con orientación profesional, de investigación y vinculado con los sectores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Proporción de alumnos inscritos en posgrado en relación con la matrícula de pregrado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113 Educación Superior Universitaria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Estratégico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Eficacia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3.0%</w:t>
            </w:r>
          </w:p>
        </w:tc>
      </w:tr>
      <w:tr w:rsidR="00DA02F6" w:rsidRPr="00F80E96" w:rsidTr="00DA02F6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1 1.Consolidar la calidad y la competitividad de la oferta educativa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Propósito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Porcentaje de alumnos inscritos en programas reconocidos por su calidad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113 Educación Superior Universitaria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Estratégico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Eficacia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6B6A5F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97</w:t>
            </w:r>
            <w:r w:rsidR="00F80E96"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.0%</w:t>
            </w:r>
          </w:p>
        </w:tc>
      </w:tr>
      <w:tr w:rsidR="00DA02F6" w:rsidRPr="00F80E96" w:rsidTr="00DA02F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1.3 Mejorar el rendimiento escolar de los alumnos.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Propósito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Porcentaje de eficiencia terminal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280 Control y Vigilancia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Estratégico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Eficacia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20.0%</w:t>
            </w:r>
          </w:p>
        </w:tc>
      </w:tr>
      <w:tr w:rsidR="00DA02F6" w:rsidRPr="00F80E96" w:rsidTr="00DA02F6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  <w:lastRenderedPageBreak/>
              <w:t>3. Extensión universitaria con proyección social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3.1 Sistematizar los servicios de extensión y cultura que contribuyen al logro del modelo educativo institucional.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Componente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Porcentaje de alumnos que reciben becas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113 Educación Superior Universitaria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Gestión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Economía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11.2%</w:t>
            </w:r>
          </w:p>
        </w:tc>
      </w:tr>
      <w:tr w:rsidR="00DA02F6" w:rsidRPr="00F80E96" w:rsidTr="00DA02F6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1.3 Mejorar el rendimiento escolar de los alumnos.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Componente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Tasa de retención de los estudiantes del primer al segundo año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280 Control y Vigilancia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Gestión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Eficacia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70.0%</w:t>
            </w:r>
          </w:p>
        </w:tc>
      </w:tr>
      <w:tr w:rsidR="00DA02F6" w:rsidRPr="00F80E96" w:rsidTr="00DA02F6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3.4 Fortalecer los programas de cultura y artes universitarios.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Componente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Número de alumnos que participan en actividades culturales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113 Educación Superior Universitaria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Gestión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Eficacia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4,410</w:t>
            </w:r>
          </w:p>
        </w:tc>
      </w:tr>
      <w:tr w:rsidR="00DA02F6" w:rsidRPr="00F80E96" w:rsidTr="00DA02F6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3.3 Fortalecer el hábito de estilos de vida saludable, cultura física y el deporte en la comunidad universitaria y sociedad.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Componente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Número de alumnos atendidos en actividades deportivas y cultura física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113 Educación Superior Universitaria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Gestión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Eficacia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3,100</w:t>
            </w:r>
          </w:p>
        </w:tc>
      </w:tr>
      <w:tr w:rsidR="00DA02F6" w:rsidRPr="00F80E96" w:rsidTr="00DA02F6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1.4 Consolidar el desarrollo del personal académico que impacte en el desempeño de la actividad docente.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Componente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Porcentaje de profesores de tiempo completo con perfil PRODEP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113 Educación Superior Universitaria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Gestión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Eficacia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83.6%</w:t>
            </w:r>
          </w:p>
        </w:tc>
      </w:tr>
      <w:tr w:rsidR="00DA02F6" w:rsidRPr="00F80E96" w:rsidTr="00E3135F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1.4 Consolidar el desarrollo del personal académico que impacte en el desempeño de la actividad docente.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Componente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Porcentaje de profesores de tiempo completo con posgrado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113 Educación Superior Universitaria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Gestión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Calidad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99.6%</w:t>
            </w:r>
          </w:p>
        </w:tc>
      </w:tr>
      <w:tr w:rsidR="00DA02F6" w:rsidRPr="00F80E96" w:rsidTr="00DA02F6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  <w:lastRenderedPageBreak/>
              <w:t>3. Extensión universitaria con proyección social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3.1 Sistematizar los servicios de extensión y cultura que contribuyen al logro del modelo educativo institucional.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Actividad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Número de programas de becas internos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113 Educación Superior Universitaria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Gestión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Eficacia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10</w:t>
            </w:r>
          </w:p>
        </w:tc>
      </w:tr>
      <w:tr w:rsidR="00F80E96" w:rsidRPr="00F80E96" w:rsidTr="00DA02F6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3.2 Fortalecer la vinculación con los sectores y grupos de interés de la Institución.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Actividad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Número de alumnos que realizan práctica profesional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287 Coordinación administrativa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Gestión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Eficiencia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1200</w:t>
            </w:r>
          </w:p>
        </w:tc>
      </w:tr>
      <w:tr w:rsidR="00F80E96" w:rsidRPr="00F80E96" w:rsidTr="00DA02F6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3.2 Fortalecer la vinculación con los sectores y grupos de interés de la Institución.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Actividad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Número de convenios institucionales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287 Coordinación administrativa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Gestión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Eficacia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35</w:t>
            </w:r>
          </w:p>
        </w:tc>
      </w:tr>
      <w:tr w:rsidR="00F80E96" w:rsidRPr="00F80E96" w:rsidTr="00DA02F6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1.3 Mejorar el rendimiento escolar de los alumnos.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Actividad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Alumnos atendidos en</w:t>
            </w: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br/>
              <w:t>programas de tutoría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113 Educación Superior Universitaria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Gestión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Calidad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4100</w:t>
            </w:r>
          </w:p>
        </w:tc>
      </w:tr>
      <w:tr w:rsidR="00F80E96" w:rsidRPr="00F80E96" w:rsidTr="00DA02F6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3.1 Sistematizar los servicios de extensión y cultura que contribuyen al logro del modelo educativo institucional.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Actividad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Número de consultas en servicios a la salud física y emocional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113 Educación Superior Universitaria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Gestión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Eficacia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1200</w:t>
            </w:r>
          </w:p>
        </w:tc>
      </w:tr>
      <w:tr w:rsidR="00F80E96" w:rsidRPr="00F80E96" w:rsidTr="00E3135F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3.4 Fortalecer los programas de cultura y artes universitarios.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Actividad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Número de actividades culturales y artísticas emprendidas para la difusión de la cultura.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113 Educación Superior Universitaria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Gestión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Eficacia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66</w:t>
            </w:r>
          </w:p>
        </w:tc>
      </w:tr>
      <w:tr w:rsidR="00F80E96" w:rsidRPr="00F80E96" w:rsidTr="00DA02F6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3.3 Fortalecer el hábito de estilos de vida saludable, cultura física y el deporte en la comunidad universitaria y sociedad.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Actividad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Número de actividades  deportivas y cultura física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113 Educación Superior Universitaria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Gestión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Eficacia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46</w:t>
            </w:r>
          </w:p>
        </w:tc>
      </w:tr>
      <w:tr w:rsidR="00F80E96" w:rsidRPr="00F80E96" w:rsidTr="00DA02F6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  <w:lastRenderedPageBreak/>
              <w:t>1. Modelo Educativo innovador y de calidad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1.4 Consolidar el desarrollo del personal académico que impacte en el desempeño de la actividad docente.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Actividad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Número de profesores (PTC y auxiliares) con capacitación pedagógica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113 Educación Superior Universitaria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Gestión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Calidad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450</w:t>
            </w:r>
          </w:p>
        </w:tc>
      </w:tr>
      <w:tr w:rsidR="00F80E96" w:rsidRPr="00F80E96" w:rsidTr="00DA02F6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b w:val="0"/>
                <w:sz w:val="18"/>
                <w:szCs w:val="20"/>
                <w:lang w:eastAsia="es-MX"/>
              </w:rPr>
              <w:t>2. Investigación y Desarrollo Tecnológico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2.1 Fortalecer la investigación básica y aplicada orientada al desarrollo sostenible.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Actividad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Número de profesores de t</w:t>
            </w:r>
            <w:bookmarkStart w:id="0" w:name="_GoBack"/>
            <w:bookmarkEnd w:id="0"/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iempo competo que son responsables de proyectos de investigación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287 Coordinación administrativa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Gestión</w:t>
            </w:r>
          </w:p>
        </w:tc>
        <w:tc>
          <w:tcPr>
            <w:tcW w:w="0" w:type="auto"/>
            <w:noWrap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Eficacia</w:t>
            </w:r>
          </w:p>
        </w:tc>
        <w:tc>
          <w:tcPr>
            <w:tcW w:w="0" w:type="auto"/>
            <w:vAlign w:val="center"/>
            <w:hideMark/>
          </w:tcPr>
          <w:p w:rsidR="00F80E96" w:rsidRPr="00E3135F" w:rsidRDefault="00F80E96" w:rsidP="006B6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</w:pPr>
            <w:r w:rsidRPr="00E3135F">
              <w:rPr>
                <w:rFonts w:ascii="Open Sans" w:eastAsia="Times New Roman" w:hAnsi="Open Sans" w:cs="Open Sans"/>
                <w:sz w:val="18"/>
                <w:szCs w:val="20"/>
                <w:lang w:eastAsia="es-MX"/>
              </w:rPr>
              <w:t>75</w:t>
            </w:r>
          </w:p>
        </w:tc>
      </w:tr>
    </w:tbl>
    <w:p w:rsidR="00F80E96" w:rsidRDefault="00F80E96"/>
    <w:sectPr w:rsidR="00F80E96" w:rsidSect="009400E5">
      <w:headerReference w:type="default" r:id="rId6"/>
      <w:pgSz w:w="15840" w:h="12240" w:orient="landscape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ABE" w:rsidRDefault="00C01ABE" w:rsidP="00F80E96">
      <w:pPr>
        <w:spacing w:after="0" w:line="240" w:lineRule="auto"/>
      </w:pPr>
      <w:r>
        <w:separator/>
      </w:r>
    </w:p>
  </w:endnote>
  <w:endnote w:type="continuationSeparator" w:id="0">
    <w:p w:rsidR="00C01ABE" w:rsidRDefault="00C01ABE" w:rsidP="00F80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ABE" w:rsidRDefault="00C01ABE" w:rsidP="00F80E96">
      <w:pPr>
        <w:spacing w:after="0" w:line="240" w:lineRule="auto"/>
      </w:pPr>
      <w:r>
        <w:separator/>
      </w:r>
    </w:p>
  </w:footnote>
  <w:footnote w:type="continuationSeparator" w:id="0">
    <w:p w:rsidR="00C01ABE" w:rsidRDefault="00C01ABE" w:rsidP="00F80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0E5" w:rsidRDefault="009400E5" w:rsidP="00F80E96">
    <w:pPr>
      <w:pStyle w:val="Encabezado"/>
      <w:jc w:val="center"/>
      <w:rPr>
        <w:b/>
      </w:rPr>
    </w:pPr>
    <w:r w:rsidRPr="00F80E96">
      <w:rPr>
        <w:b/>
        <w:noProof/>
        <w:lang w:eastAsia="es-MX"/>
      </w:rPr>
      <w:drawing>
        <wp:anchor distT="0" distB="0" distL="114300" distR="114300" simplePos="0" relativeHeight="251658240" behindDoc="0" locked="0" layoutInCell="1" allowOverlap="1" wp14:anchorId="6A4E2FE4" wp14:editId="54902D05">
          <wp:simplePos x="0" y="0"/>
          <wp:positionH relativeFrom="margin">
            <wp:align>left</wp:align>
          </wp:positionH>
          <wp:positionV relativeFrom="paragraph">
            <wp:posOffset>7013</wp:posOffset>
          </wp:positionV>
          <wp:extent cx="1190625" cy="6762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0E96" w:rsidRPr="00F80E96" w:rsidRDefault="00F80E96" w:rsidP="00F80E96">
    <w:pPr>
      <w:pStyle w:val="Encabezado"/>
      <w:jc w:val="center"/>
      <w:rPr>
        <w:b/>
      </w:rPr>
    </w:pPr>
    <w:r w:rsidRPr="00F80E96">
      <w:rPr>
        <w:b/>
      </w:rPr>
      <w:t>INSTITUTO TECNOLÓGICO DE SONORA</w:t>
    </w:r>
  </w:p>
  <w:p w:rsidR="00F80E96" w:rsidRPr="00F80E96" w:rsidRDefault="00F80E96" w:rsidP="00F80E96">
    <w:pPr>
      <w:pStyle w:val="Encabezado"/>
      <w:jc w:val="center"/>
      <w:rPr>
        <w:b/>
      </w:rPr>
    </w:pPr>
    <w:r w:rsidRPr="00F80E96">
      <w:rPr>
        <w:b/>
      </w:rPr>
      <w:t>PROGRAMA OPERATIVO ANUAL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96"/>
    <w:rsid w:val="00342F84"/>
    <w:rsid w:val="00476580"/>
    <w:rsid w:val="006B6A5F"/>
    <w:rsid w:val="008231D9"/>
    <w:rsid w:val="008E282B"/>
    <w:rsid w:val="009400E5"/>
    <w:rsid w:val="00C00664"/>
    <w:rsid w:val="00C01ABE"/>
    <w:rsid w:val="00DA02F6"/>
    <w:rsid w:val="00E07DBA"/>
    <w:rsid w:val="00E3135F"/>
    <w:rsid w:val="00F8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D77B0"/>
  <w15:chartTrackingRefBased/>
  <w15:docId w15:val="{78BCB484-1EEC-4889-8F48-29AC7C44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1clara-nfasis1">
    <w:name w:val="Grid Table 1 Light Accent 1"/>
    <w:basedOn w:val="Tablanormal"/>
    <w:uiPriority w:val="46"/>
    <w:rsid w:val="00F80E9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F80E9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80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E96"/>
  </w:style>
  <w:style w:type="paragraph" w:styleId="Piedepgina">
    <w:name w:val="footer"/>
    <w:basedOn w:val="Normal"/>
    <w:link w:val="PiedepginaCar"/>
    <w:uiPriority w:val="99"/>
    <w:unhideWhenUsed/>
    <w:rsid w:val="00F80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272A21F80BA34CA301758FC46E7D0D" ma:contentTypeVersion="" ma:contentTypeDescription="Crear nuevo documento." ma:contentTypeScope="" ma:versionID="5a18bbadecdd4d1b6db75c4cda3ec075">
  <xsd:schema xmlns:xsd="http://www.w3.org/2001/XMLSchema" xmlns:xs="http://www.w3.org/2001/XMLSchema" xmlns:p="http://schemas.microsoft.com/office/2006/metadata/properties" xmlns:ns1="http://schemas.microsoft.com/sharepoint/v3" xmlns:ns2="0ad1bae6-2a2a-4970-9fd8-18d3eccc6c77" targetNamespace="http://schemas.microsoft.com/office/2006/metadata/properties" ma:root="true" ma:fieldsID="17f0563a3b21f71b8cb993af38efa65e" ns1:_="" ns2:_="">
    <xsd:import namespace="http://schemas.microsoft.com/sharepoint/v3"/>
    <xsd:import namespace="0ad1bae6-2a2a-4970-9fd8-18d3eccc6c7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1bae6-2a2a-4970-9fd8-18d3eccc6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C61940-9EE2-412A-B8F1-A64B23CA4BF6}"/>
</file>

<file path=customXml/itemProps2.xml><?xml version="1.0" encoding="utf-8"?>
<ds:datastoreItem xmlns:ds="http://schemas.openxmlformats.org/officeDocument/2006/customXml" ds:itemID="{6D943D97-41EC-478D-AD48-965559530AC0}"/>
</file>

<file path=customXml/itemProps3.xml><?xml version="1.0" encoding="utf-8"?>
<ds:datastoreItem xmlns:ds="http://schemas.openxmlformats.org/officeDocument/2006/customXml" ds:itemID="{6BADBF1E-8AB5-4953-B0FE-F8DE7CB2C3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828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Coutiño Escamilla</dc:creator>
  <cp:keywords/>
  <dc:description/>
  <cp:lastModifiedBy>Cristina Coutiño Escamilla</cp:lastModifiedBy>
  <cp:revision>10</cp:revision>
  <cp:lastPrinted>2022-05-11T20:31:00Z</cp:lastPrinted>
  <dcterms:created xsi:type="dcterms:W3CDTF">2022-05-11T20:04:00Z</dcterms:created>
  <dcterms:modified xsi:type="dcterms:W3CDTF">2022-05-11T22:28:00Z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0x0101000F272A21F80BA34CA301758FC46E7D0D</vt:lpwstr>
  </property>
</Properties>
</file>